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65" w:rsidRDefault="00033B05">
      <w:pPr>
        <w:spacing w:after="0"/>
        <w:ind w:left="106"/>
        <w:jc w:val="center"/>
      </w:pPr>
      <w:r>
        <w:rPr>
          <w:b/>
          <w:color w:val="002060"/>
          <w:sz w:val="24"/>
        </w:rPr>
        <w:t>April</w:t>
      </w:r>
      <w:r w:rsidR="000919C9">
        <w:rPr>
          <w:b/>
          <w:color w:val="002060"/>
          <w:sz w:val="24"/>
        </w:rPr>
        <w:t xml:space="preserve"> 2017 </w:t>
      </w:r>
      <w:r w:rsidR="000919C9">
        <w:t xml:space="preserve"> </w:t>
      </w:r>
    </w:p>
    <w:tbl>
      <w:tblPr>
        <w:tblStyle w:val="TableGrid"/>
        <w:tblW w:w="8526" w:type="dxa"/>
        <w:tblInd w:w="24" w:type="dxa"/>
        <w:tblCellMar>
          <w:top w:w="91" w:type="dxa"/>
          <w:left w:w="108" w:type="dxa"/>
          <w:right w:w="77" w:type="dxa"/>
        </w:tblCellMar>
        <w:tblLook w:val="04A0" w:firstRow="1" w:lastRow="0" w:firstColumn="1" w:lastColumn="0" w:noHBand="0" w:noVBand="1"/>
      </w:tblPr>
      <w:tblGrid>
        <w:gridCol w:w="1229"/>
        <w:gridCol w:w="993"/>
        <w:gridCol w:w="1468"/>
        <w:gridCol w:w="1182"/>
        <w:gridCol w:w="1047"/>
        <w:gridCol w:w="1465"/>
        <w:gridCol w:w="1142"/>
      </w:tblGrid>
      <w:tr w:rsidR="00D23365">
        <w:trPr>
          <w:trHeight w:val="883"/>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pPr>
              <w:ind w:left="38"/>
            </w:pPr>
            <w:r>
              <w:rPr>
                <w:b/>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67"/>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36"/>
              <w:jc w:val="center"/>
            </w:pPr>
            <w:r>
              <w:rPr>
                <w:b/>
                <w:color w:val="002060"/>
              </w:rPr>
              <w:t>Fund</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65"/>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70"/>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left="15"/>
              <w:jc w:val="center"/>
            </w:pPr>
            <w:r>
              <w:rPr>
                <w:b/>
                <w:color w:val="002060"/>
              </w:rPr>
              <w:t>S&amp;P500</w:t>
            </w:r>
            <w:r>
              <w:t xml:space="preserve"> </w:t>
            </w:r>
            <w:r>
              <w:rPr>
                <w:b/>
                <w:color w:val="002060"/>
              </w:rPr>
              <w:t>Index</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68"/>
              <w:jc w:val="center"/>
            </w:pPr>
            <w:r>
              <w:t xml:space="preserve"> </w:t>
            </w:r>
          </w:p>
        </w:tc>
      </w:tr>
      <w:tr w:rsidR="00D23365">
        <w:trPr>
          <w:trHeight w:val="883"/>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pPr>
              <w:ind w:left="38"/>
            </w:pPr>
            <w:r>
              <w:rPr>
                <w:i/>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left="82"/>
            </w:pPr>
            <w:r>
              <w:rPr>
                <w:i/>
                <w:color w:val="002060"/>
              </w:rPr>
              <w:t>Performance</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jc w:val="center"/>
            </w:pPr>
            <w:r>
              <w:rPr>
                <w:i/>
                <w:color w:val="002060"/>
              </w:rPr>
              <w:t>Inception to Date</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70"/>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left="79"/>
            </w:pPr>
            <w:r>
              <w:rPr>
                <w:i/>
                <w:color w:val="002060"/>
              </w:rPr>
              <w:t>Performance</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jc w:val="center"/>
            </w:pPr>
            <w:r>
              <w:rPr>
                <w:i/>
                <w:color w:val="002060"/>
              </w:rPr>
              <w:t>Inception to Date</w:t>
            </w:r>
            <w:r>
              <w:t xml:space="preserve"> </w:t>
            </w:r>
          </w:p>
        </w:tc>
      </w:tr>
      <w:tr w:rsidR="00D23365">
        <w:trPr>
          <w:trHeight w:val="576"/>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2005</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+14.01%</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98"/>
            </w:pPr>
            <w:r>
              <w:rPr>
                <w:b/>
                <w:color w:val="002060"/>
              </w:rPr>
              <w:t>+14.01%</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+4.78%</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right="19"/>
              <w:jc w:val="center"/>
            </w:pPr>
            <w:r>
              <w:rPr>
                <w:b/>
                <w:color w:val="002060"/>
              </w:rPr>
              <w:t>+4.78%</w:t>
            </w:r>
            <w:r>
              <w:t xml:space="preserve"> </w:t>
            </w:r>
          </w:p>
        </w:tc>
      </w:tr>
      <w:tr w:rsidR="00D23365">
        <w:trPr>
          <w:trHeight w:val="574"/>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2006</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+16.91%</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98"/>
            </w:pPr>
            <w:r>
              <w:rPr>
                <w:b/>
                <w:color w:val="002060"/>
              </w:rPr>
              <w:t>+33.29%</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+13.62%</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70"/>
            </w:pPr>
            <w:r>
              <w:rPr>
                <w:b/>
                <w:color w:val="002060"/>
              </w:rPr>
              <w:t>+19.05%</w:t>
            </w:r>
            <w:r>
              <w:t xml:space="preserve"> </w:t>
            </w:r>
          </w:p>
        </w:tc>
      </w:tr>
      <w:tr w:rsidR="00D23365">
        <w:trPr>
          <w:trHeight w:val="577"/>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2007</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18"/>
              <w:jc w:val="center"/>
            </w:pPr>
            <w:r>
              <w:rPr>
                <w:b/>
                <w:color w:val="002060"/>
              </w:rPr>
              <w:t>+4.06%</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98"/>
            </w:pPr>
            <w:r>
              <w:rPr>
                <w:b/>
                <w:color w:val="002060"/>
              </w:rPr>
              <w:t>+38.70%</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+3.53%</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70"/>
            </w:pPr>
            <w:r>
              <w:rPr>
                <w:b/>
                <w:color w:val="002060"/>
              </w:rPr>
              <w:t>+23.25%</w:t>
            </w:r>
            <w:r>
              <w:t xml:space="preserve"> </w:t>
            </w:r>
          </w:p>
        </w:tc>
      </w:tr>
      <w:tr w:rsidR="00D23365">
        <w:trPr>
          <w:trHeight w:val="574"/>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2008</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-47.99%</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-27.86%</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-38.49%</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right="22"/>
              <w:jc w:val="center"/>
            </w:pPr>
            <w:r>
              <w:rPr>
                <w:b/>
                <w:color w:val="002060"/>
              </w:rPr>
              <w:t>-24.18%</w:t>
            </w:r>
            <w:r>
              <w:t xml:space="preserve"> </w:t>
            </w:r>
          </w:p>
        </w:tc>
      </w:tr>
      <w:tr w:rsidR="00D23365">
        <w:trPr>
          <w:trHeight w:val="574"/>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2009</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+42.74%</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+2.97%</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+23.45%</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right="22"/>
              <w:jc w:val="center"/>
            </w:pPr>
            <w:r>
              <w:rPr>
                <w:b/>
                <w:color w:val="002060"/>
              </w:rPr>
              <w:t>-6.40%</w:t>
            </w:r>
            <w:r>
              <w:t xml:space="preserve"> </w:t>
            </w:r>
          </w:p>
        </w:tc>
      </w:tr>
      <w:tr w:rsidR="00D23365">
        <w:trPr>
          <w:trHeight w:val="576"/>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2010</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+24.94%</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98"/>
            </w:pPr>
            <w:r>
              <w:rPr>
                <w:b/>
                <w:color w:val="002060"/>
              </w:rPr>
              <w:t>+28.65%</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+12.78%</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right="19"/>
              <w:jc w:val="center"/>
            </w:pPr>
            <w:r>
              <w:rPr>
                <w:b/>
                <w:color w:val="002060"/>
              </w:rPr>
              <w:t>+5.57%</w:t>
            </w:r>
            <w:r>
              <w:t xml:space="preserve"> </w:t>
            </w:r>
          </w:p>
        </w:tc>
      </w:tr>
      <w:tr w:rsidR="00D23365">
        <w:trPr>
          <w:trHeight w:val="576"/>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2011</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18"/>
              <w:jc w:val="center"/>
            </w:pPr>
            <w:r>
              <w:rPr>
                <w:b/>
                <w:color w:val="002060"/>
              </w:rPr>
              <w:t>+1.79%</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98"/>
            </w:pPr>
            <w:r>
              <w:rPr>
                <w:b/>
                <w:color w:val="002060"/>
              </w:rPr>
              <w:t>+30.96%</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0.00%</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right="19"/>
              <w:jc w:val="center"/>
            </w:pPr>
            <w:r>
              <w:rPr>
                <w:b/>
                <w:color w:val="002060"/>
              </w:rPr>
              <w:t>+5.56%</w:t>
            </w:r>
            <w:r>
              <w:t xml:space="preserve"> </w:t>
            </w:r>
          </w:p>
        </w:tc>
      </w:tr>
      <w:tr w:rsidR="00D23365">
        <w:trPr>
          <w:trHeight w:val="574"/>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2012</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+24.17%</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98"/>
            </w:pPr>
            <w:r>
              <w:rPr>
                <w:b/>
                <w:color w:val="002060"/>
              </w:rPr>
              <w:t>+62.61%</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+13.41%</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70"/>
            </w:pPr>
            <w:r>
              <w:rPr>
                <w:b/>
                <w:color w:val="002060"/>
              </w:rPr>
              <w:t>+19.71%</w:t>
            </w:r>
            <w:r>
              <w:t xml:space="preserve"> </w:t>
            </w:r>
          </w:p>
        </w:tc>
      </w:tr>
      <w:tr w:rsidR="00D23365">
        <w:trPr>
          <w:trHeight w:val="574"/>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2013</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+42.96%</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43"/>
            </w:pPr>
            <w:r>
              <w:rPr>
                <w:b/>
                <w:color w:val="002060"/>
              </w:rPr>
              <w:t>+132.46%</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+29.60%</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70"/>
            </w:pPr>
            <w:r>
              <w:rPr>
                <w:b/>
                <w:color w:val="002060"/>
              </w:rPr>
              <w:t>+55.15%</w:t>
            </w:r>
            <w:r>
              <w:t xml:space="preserve"> </w:t>
            </w:r>
          </w:p>
        </w:tc>
      </w:tr>
      <w:tr w:rsidR="00D23365">
        <w:trPr>
          <w:trHeight w:val="576"/>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2014</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18"/>
              <w:jc w:val="center"/>
            </w:pPr>
            <w:r>
              <w:rPr>
                <w:b/>
                <w:color w:val="002060"/>
              </w:rPr>
              <w:t>+3.92%</w:t>
            </w: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43"/>
            </w:pPr>
            <w:r>
              <w:rPr>
                <w:b/>
                <w:color w:val="002060"/>
              </w:rPr>
              <w:t>+141.59%</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+11.39%</w:t>
            </w: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70"/>
            </w:pPr>
            <w:r>
              <w:rPr>
                <w:b/>
                <w:color w:val="002060"/>
              </w:rPr>
              <w:t>+72.82%</w:t>
            </w:r>
            <w:r>
              <w:t xml:space="preserve"> </w:t>
            </w:r>
          </w:p>
        </w:tc>
      </w:tr>
      <w:tr w:rsidR="00D23365">
        <w:trPr>
          <w:trHeight w:val="574"/>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2015</w:t>
            </w:r>
            <w:r>
              <w:rPr>
                <w:color w:val="00206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9"/>
              <w:jc w:val="center"/>
            </w:pPr>
            <w:r>
              <w:rPr>
                <w:color w:val="00206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-2.10%</w:t>
            </w:r>
            <w:r>
              <w:rPr>
                <w:color w:val="002060"/>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43"/>
            </w:pPr>
            <w:r>
              <w:rPr>
                <w:b/>
                <w:color w:val="002060"/>
              </w:rPr>
              <w:t>+136.51%</w:t>
            </w:r>
            <w:r>
              <w:rPr>
                <w:color w:val="00206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7"/>
              <w:jc w:val="center"/>
            </w:pPr>
            <w:r>
              <w:rPr>
                <w:color w:val="002060"/>
              </w:rP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4"/>
              <w:jc w:val="center"/>
            </w:pPr>
            <w:r>
              <w:rPr>
                <w:b/>
                <w:color w:val="002060"/>
              </w:rPr>
              <w:t>-0.73%</w:t>
            </w:r>
            <w:r>
              <w:rPr>
                <w:color w:val="002060"/>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70"/>
            </w:pPr>
            <w:r>
              <w:rPr>
                <w:b/>
                <w:color w:val="002060"/>
              </w:rPr>
              <w:t>+71.56%</w:t>
            </w:r>
            <w:r>
              <w:rPr>
                <w:color w:val="002060"/>
              </w:rPr>
              <w:t xml:space="preserve"> </w:t>
            </w:r>
          </w:p>
        </w:tc>
      </w:tr>
      <w:tr w:rsidR="00D23365">
        <w:trPr>
          <w:trHeight w:val="576"/>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pPr>
              <w:ind w:left="38"/>
            </w:pPr>
            <w:r>
              <w:rPr>
                <w:b/>
                <w:color w:val="002060"/>
              </w:rPr>
              <w:t xml:space="preserve">2016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24"/>
              <w:jc w:val="center"/>
            </w:pPr>
            <w:r>
              <w:rPr>
                <w:b/>
                <w:color w:val="00206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30"/>
              <w:jc w:val="center"/>
            </w:pPr>
            <w:r>
              <w:rPr>
                <w:b/>
                <w:color w:val="002060"/>
              </w:rPr>
              <w:t xml:space="preserve">+31.95%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62"/>
            </w:pPr>
            <w:r>
              <w:rPr>
                <w:b/>
                <w:color w:val="002060"/>
              </w:rPr>
              <w:t xml:space="preserve">+212.07%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22"/>
              <w:jc w:val="center"/>
            </w:pPr>
            <w:r>
              <w:rPr>
                <w:b/>
                <w:color w:val="002060"/>
              </w:rPr>
              <w:t xml:space="preserve">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31"/>
              <w:jc w:val="center"/>
            </w:pPr>
            <w:r>
              <w:rPr>
                <w:b/>
                <w:color w:val="002060"/>
              </w:rPr>
              <w:t xml:space="preserve">+9.54%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91"/>
            </w:pPr>
            <w:r>
              <w:rPr>
                <w:b/>
                <w:color w:val="002060"/>
              </w:rPr>
              <w:t xml:space="preserve">+87.93% </w:t>
            </w:r>
          </w:p>
        </w:tc>
      </w:tr>
      <w:tr w:rsidR="00D23365">
        <w:trPr>
          <w:trHeight w:val="578"/>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pPr>
              <w:ind w:left="38"/>
            </w:pPr>
            <w:r>
              <w:rPr>
                <w:i/>
                <w:color w:val="00206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right="22"/>
              <w:jc w:val="center"/>
            </w:pPr>
            <w:r>
              <w:rPr>
                <w:i/>
                <w:color w:val="002060"/>
              </w:rPr>
              <w:t xml:space="preserve">MTD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34"/>
              <w:jc w:val="center"/>
            </w:pPr>
            <w:r>
              <w:rPr>
                <w:i/>
                <w:color w:val="002060"/>
              </w:rPr>
              <w:t xml:space="preserve">YTD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16"/>
              <w:jc w:val="center"/>
            </w:pPr>
            <w:r>
              <w:rPr>
                <w:i/>
                <w:color w:val="002060"/>
              </w:rPr>
              <w:t xml:space="preserve">ITD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right="30"/>
              <w:jc w:val="center"/>
            </w:pPr>
            <w:r>
              <w:rPr>
                <w:i/>
                <w:color w:val="002060"/>
              </w:rPr>
              <w:t xml:space="preserve">MTD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32"/>
              <w:jc w:val="center"/>
            </w:pPr>
            <w:r>
              <w:rPr>
                <w:i/>
                <w:color w:val="002060"/>
              </w:rPr>
              <w:t xml:space="preserve">YTD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18"/>
              <w:jc w:val="center"/>
            </w:pPr>
            <w:r>
              <w:rPr>
                <w:i/>
                <w:color w:val="002060"/>
              </w:rPr>
              <w:t xml:space="preserve">ITD </w:t>
            </w:r>
          </w:p>
        </w:tc>
      </w:tr>
      <w:tr w:rsidR="00D23365">
        <w:trPr>
          <w:trHeight w:val="576"/>
        </w:trPr>
        <w:tc>
          <w:tcPr>
            <w:tcW w:w="1241" w:type="dxa"/>
            <w:tcBorders>
              <w:top w:val="single" w:sz="4" w:space="0" w:color="000000"/>
              <w:left w:val="single" w:sz="4" w:space="0" w:color="000000"/>
              <w:bottom w:val="single" w:sz="4" w:space="0" w:color="000000"/>
              <w:right w:val="single" w:sz="4" w:space="0" w:color="000000"/>
            </w:tcBorders>
          </w:tcPr>
          <w:p w:rsidR="00D23365" w:rsidRDefault="000919C9">
            <w:r>
              <w:rPr>
                <w:b/>
                <w:color w:val="002060"/>
              </w:rPr>
              <w:t xml:space="preserve">Jan 2017 </w:t>
            </w:r>
          </w:p>
        </w:tc>
        <w:tc>
          <w:tcPr>
            <w:tcW w:w="994" w:type="dxa"/>
            <w:tcBorders>
              <w:top w:val="single" w:sz="4" w:space="0" w:color="000000"/>
              <w:left w:val="single" w:sz="4" w:space="0" w:color="000000"/>
              <w:bottom w:val="single" w:sz="4" w:space="0" w:color="000000"/>
              <w:right w:val="single" w:sz="4" w:space="0" w:color="000000"/>
            </w:tcBorders>
          </w:tcPr>
          <w:p w:rsidR="00D23365" w:rsidRDefault="000919C9">
            <w:pPr>
              <w:ind w:left="82"/>
            </w:pPr>
            <w:r>
              <w:rPr>
                <w:b/>
                <w:color w:val="002060"/>
              </w:rPr>
              <w:t xml:space="preserve">-1.42% </w:t>
            </w:r>
          </w:p>
        </w:tc>
        <w:tc>
          <w:tcPr>
            <w:tcW w:w="1469"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 xml:space="preserve">-1.42% </w:t>
            </w:r>
          </w:p>
        </w:tc>
        <w:tc>
          <w:tcPr>
            <w:tcW w:w="1183" w:type="dxa"/>
            <w:tcBorders>
              <w:top w:val="single" w:sz="4" w:space="0" w:color="000000"/>
              <w:left w:val="single" w:sz="4" w:space="0" w:color="000000"/>
              <w:bottom w:val="single" w:sz="4" w:space="0" w:color="000000"/>
              <w:right w:val="single" w:sz="4" w:space="0" w:color="000000"/>
            </w:tcBorders>
          </w:tcPr>
          <w:p w:rsidR="00D23365" w:rsidRDefault="000919C9">
            <w:pPr>
              <w:ind w:left="43"/>
            </w:pPr>
            <w:r>
              <w:rPr>
                <w:b/>
                <w:color w:val="002060"/>
              </w:rPr>
              <w:t xml:space="preserve">+207.46% </w:t>
            </w:r>
          </w:p>
        </w:tc>
        <w:tc>
          <w:tcPr>
            <w:tcW w:w="1049" w:type="dxa"/>
            <w:tcBorders>
              <w:top w:val="single" w:sz="4" w:space="0" w:color="000000"/>
              <w:left w:val="single" w:sz="4" w:space="0" w:color="000000"/>
              <w:bottom w:val="single" w:sz="4" w:space="0" w:color="000000"/>
              <w:right w:val="single" w:sz="4" w:space="0" w:color="000000"/>
            </w:tcBorders>
          </w:tcPr>
          <w:p w:rsidR="00D23365" w:rsidRDefault="000919C9">
            <w:pPr>
              <w:ind w:left="89"/>
            </w:pPr>
            <w:r>
              <w:rPr>
                <w:b/>
                <w:color w:val="002060"/>
              </w:rPr>
              <w:t xml:space="preserve">+1.79% </w:t>
            </w:r>
          </w:p>
        </w:tc>
        <w:tc>
          <w:tcPr>
            <w:tcW w:w="1466" w:type="dxa"/>
            <w:tcBorders>
              <w:top w:val="single" w:sz="4" w:space="0" w:color="000000"/>
              <w:left w:val="single" w:sz="4" w:space="0" w:color="000000"/>
              <w:bottom w:val="single" w:sz="4" w:space="0" w:color="000000"/>
              <w:right w:val="single" w:sz="4" w:space="0" w:color="000000"/>
            </w:tcBorders>
          </w:tcPr>
          <w:p w:rsidR="00D23365" w:rsidRDefault="000919C9">
            <w:pPr>
              <w:ind w:right="21"/>
              <w:jc w:val="center"/>
            </w:pPr>
            <w:r>
              <w:rPr>
                <w:b/>
                <w:color w:val="002060"/>
              </w:rPr>
              <w:t xml:space="preserve">+1.79% </w:t>
            </w:r>
          </w:p>
        </w:tc>
        <w:tc>
          <w:tcPr>
            <w:tcW w:w="1124" w:type="dxa"/>
            <w:tcBorders>
              <w:top w:val="single" w:sz="4" w:space="0" w:color="000000"/>
              <w:left w:val="single" w:sz="4" w:space="0" w:color="000000"/>
              <w:bottom w:val="single" w:sz="4" w:space="0" w:color="000000"/>
              <w:right w:val="single" w:sz="4" w:space="0" w:color="000000"/>
            </w:tcBorders>
          </w:tcPr>
          <w:p w:rsidR="00D23365" w:rsidRDefault="000919C9">
            <w:pPr>
              <w:ind w:left="70"/>
            </w:pPr>
            <w:r>
              <w:rPr>
                <w:b/>
                <w:color w:val="002060"/>
              </w:rPr>
              <w:t xml:space="preserve">+91.29% </w:t>
            </w:r>
          </w:p>
        </w:tc>
      </w:tr>
      <w:tr w:rsidR="00672C08">
        <w:trPr>
          <w:trHeight w:val="576"/>
        </w:trPr>
        <w:tc>
          <w:tcPr>
            <w:tcW w:w="1241" w:type="dxa"/>
            <w:tcBorders>
              <w:top w:val="single" w:sz="4" w:space="0" w:color="000000"/>
              <w:left w:val="single" w:sz="4" w:space="0" w:color="000000"/>
              <w:bottom w:val="single" w:sz="4" w:space="0" w:color="000000"/>
              <w:right w:val="single" w:sz="4" w:space="0" w:color="000000"/>
            </w:tcBorders>
          </w:tcPr>
          <w:p w:rsidR="00672C08" w:rsidRDefault="00672C08">
            <w:pPr>
              <w:rPr>
                <w:b/>
                <w:color w:val="002060"/>
              </w:rPr>
            </w:pPr>
            <w:r>
              <w:rPr>
                <w:b/>
                <w:color w:val="002060"/>
              </w:rPr>
              <w:t>Feb 2017</w:t>
            </w:r>
          </w:p>
        </w:tc>
        <w:tc>
          <w:tcPr>
            <w:tcW w:w="994" w:type="dxa"/>
            <w:tcBorders>
              <w:top w:val="single" w:sz="4" w:space="0" w:color="000000"/>
              <w:left w:val="single" w:sz="4" w:space="0" w:color="000000"/>
              <w:bottom w:val="single" w:sz="4" w:space="0" w:color="000000"/>
              <w:right w:val="single" w:sz="4" w:space="0" w:color="000000"/>
            </w:tcBorders>
          </w:tcPr>
          <w:p w:rsidR="00672C08" w:rsidRDefault="00C31440">
            <w:pPr>
              <w:ind w:left="82"/>
              <w:rPr>
                <w:b/>
                <w:color w:val="002060"/>
              </w:rPr>
            </w:pPr>
            <w:r>
              <w:rPr>
                <w:b/>
                <w:color w:val="002060"/>
              </w:rPr>
              <w:t>+1.63%</w:t>
            </w:r>
          </w:p>
        </w:tc>
        <w:tc>
          <w:tcPr>
            <w:tcW w:w="1469" w:type="dxa"/>
            <w:tcBorders>
              <w:top w:val="single" w:sz="4" w:space="0" w:color="000000"/>
              <w:left w:val="single" w:sz="4" w:space="0" w:color="000000"/>
              <w:bottom w:val="single" w:sz="4" w:space="0" w:color="000000"/>
              <w:right w:val="single" w:sz="4" w:space="0" w:color="000000"/>
            </w:tcBorders>
          </w:tcPr>
          <w:p w:rsidR="00672C08" w:rsidRDefault="00C31440">
            <w:pPr>
              <w:ind w:right="21"/>
              <w:jc w:val="center"/>
              <w:rPr>
                <w:b/>
                <w:color w:val="002060"/>
              </w:rPr>
            </w:pPr>
            <w:r>
              <w:rPr>
                <w:b/>
                <w:color w:val="002060"/>
              </w:rPr>
              <w:t>+0.13%</w:t>
            </w:r>
          </w:p>
        </w:tc>
        <w:tc>
          <w:tcPr>
            <w:tcW w:w="1183" w:type="dxa"/>
            <w:tcBorders>
              <w:top w:val="single" w:sz="4" w:space="0" w:color="000000"/>
              <w:left w:val="single" w:sz="4" w:space="0" w:color="000000"/>
              <w:bottom w:val="single" w:sz="4" w:space="0" w:color="000000"/>
              <w:right w:val="single" w:sz="4" w:space="0" w:color="000000"/>
            </w:tcBorders>
          </w:tcPr>
          <w:p w:rsidR="00672C08" w:rsidRDefault="00C31440">
            <w:pPr>
              <w:ind w:left="43"/>
              <w:rPr>
                <w:b/>
                <w:color w:val="002060"/>
              </w:rPr>
            </w:pPr>
            <w:r>
              <w:rPr>
                <w:b/>
                <w:color w:val="002060"/>
              </w:rPr>
              <w:t>+212.48%</w:t>
            </w:r>
          </w:p>
        </w:tc>
        <w:tc>
          <w:tcPr>
            <w:tcW w:w="1049" w:type="dxa"/>
            <w:tcBorders>
              <w:top w:val="single" w:sz="4" w:space="0" w:color="000000"/>
              <w:left w:val="single" w:sz="4" w:space="0" w:color="000000"/>
              <w:bottom w:val="single" w:sz="4" w:space="0" w:color="000000"/>
              <w:right w:val="single" w:sz="4" w:space="0" w:color="000000"/>
            </w:tcBorders>
          </w:tcPr>
          <w:p w:rsidR="00672C08" w:rsidRDefault="00C31440">
            <w:pPr>
              <w:ind w:left="89"/>
              <w:rPr>
                <w:b/>
                <w:color w:val="002060"/>
              </w:rPr>
            </w:pPr>
            <w:r>
              <w:rPr>
                <w:b/>
                <w:color w:val="002060"/>
              </w:rPr>
              <w:t>+3.72%</w:t>
            </w:r>
          </w:p>
        </w:tc>
        <w:tc>
          <w:tcPr>
            <w:tcW w:w="1466" w:type="dxa"/>
            <w:tcBorders>
              <w:top w:val="single" w:sz="4" w:space="0" w:color="000000"/>
              <w:left w:val="single" w:sz="4" w:space="0" w:color="000000"/>
              <w:bottom w:val="single" w:sz="4" w:space="0" w:color="000000"/>
              <w:right w:val="single" w:sz="4" w:space="0" w:color="000000"/>
            </w:tcBorders>
          </w:tcPr>
          <w:p w:rsidR="00672C08" w:rsidRDefault="000919C9">
            <w:pPr>
              <w:ind w:right="21"/>
              <w:jc w:val="center"/>
              <w:rPr>
                <w:b/>
                <w:color w:val="002060"/>
              </w:rPr>
            </w:pPr>
            <w:r>
              <w:rPr>
                <w:b/>
                <w:color w:val="002060"/>
              </w:rPr>
              <w:t>+5.57%</w:t>
            </w:r>
          </w:p>
        </w:tc>
        <w:tc>
          <w:tcPr>
            <w:tcW w:w="1124" w:type="dxa"/>
            <w:tcBorders>
              <w:top w:val="single" w:sz="4" w:space="0" w:color="000000"/>
              <w:left w:val="single" w:sz="4" w:space="0" w:color="000000"/>
              <w:bottom w:val="single" w:sz="4" w:space="0" w:color="000000"/>
              <w:right w:val="single" w:sz="4" w:space="0" w:color="000000"/>
            </w:tcBorders>
          </w:tcPr>
          <w:p w:rsidR="00672C08" w:rsidRDefault="000919C9">
            <w:pPr>
              <w:ind w:left="70"/>
              <w:rPr>
                <w:b/>
                <w:color w:val="002060"/>
              </w:rPr>
            </w:pPr>
            <w:r>
              <w:rPr>
                <w:b/>
                <w:color w:val="002060"/>
              </w:rPr>
              <w:t>+98.40%</w:t>
            </w:r>
          </w:p>
        </w:tc>
      </w:tr>
      <w:tr w:rsidR="00B71C0B">
        <w:trPr>
          <w:trHeight w:val="576"/>
        </w:trPr>
        <w:tc>
          <w:tcPr>
            <w:tcW w:w="1241" w:type="dxa"/>
            <w:tcBorders>
              <w:top w:val="single" w:sz="4" w:space="0" w:color="000000"/>
              <w:left w:val="single" w:sz="4" w:space="0" w:color="000000"/>
              <w:bottom w:val="single" w:sz="4" w:space="0" w:color="000000"/>
              <w:right w:val="single" w:sz="4" w:space="0" w:color="000000"/>
            </w:tcBorders>
          </w:tcPr>
          <w:p w:rsidR="00B71C0B" w:rsidRDefault="00B71C0B">
            <w:pPr>
              <w:rPr>
                <w:b/>
                <w:color w:val="002060"/>
              </w:rPr>
            </w:pPr>
            <w:r>
              <w:rPr>
                <w:b/>
                <w:color w:val="002060"/>
              </w:rPr>
              <w:t>Mar 2017</w:t>
            </w:r>
          </w:p>
        </w:tc>
        <w:tc>
          <w:tcPr>
            <w:tcW w:w="994" w:type="dxa"/>
            <w:tcBorders>
              <w:top w:val="single" w:sz="4" w:space="0" w:color="000000"/>
              <w:left w:val="single" w:sz="4" w:space="0" w:color="000000"/>
              <w:bottom w:val="single" w:sz="4" w:space="0" w:color="000000"/>
              <w:right w:val="single" w:sz="4" w:space="0" w:color="000000"/>
            </w:tcBorders>
          </w:tcPr>
          <w:p w:rsidR="00B71C0B" w:rsidRDefault="00B71C0B">
            <w:pPr>
              <w:ind w:left="82"/>
              <w:rPr>
                <w:b/>
                <w:color w:val="002060"/>
              </w:rPr>
            </w:pPr>
            <w:r>
              <w:rPr>
                <w:b/>
                <w:color w:val="002060"/>
              </w:rPr>
              <w:t>-0.67%</w:t>
            </w:r>
          </w:p>
        </w:tc>
        <w:tc>
          <w:tcPr>
            <w:tcW w:w="1469" w:type="dxa"/>
            <w:tcBorders>
              <w:top w:val="single" w:sz="4" w:space="0" w:color="000000"/>
              <w:left w:val="single" w:sz="4" w:space="0" w:color="000000"/>
              <w:bottom w:val="single" w:sz="4" w:space="0" w:color="000000"/>
              <w:right w:val="single" w:sz="4" w:space="0" w:color="000000"/>
            </w:tcBorders>
          </w:tcPr>
          <w:p w:rsidR="00B71C0B" w:rsidRDefault="00B71C0B">
            <w:pPr>
              <w:ind w:right="21"/>
              <w:jc w:val="center"/>
              <w:rPr>
                <w:b/>
                <w:color w:val="002060"/>
              </w:rPr>
            </w:pPr>
            <w:r>
              <w:rPr>
                <w:b/>
                <w:color w:val="002060"/>
              </w:rPr>
              <w:t>-0.54%</w:t>
            </w:r>
          </w:p>
        </w:tc>
        <w:tc>
          <w:tcPr>
            <w:tcW w:w="1183" w:type="dxa"/>
            <w:tcBorders>
              <w:top w:val="single" w:sz="4" w:space="0" w:color="000000"/>
              <w:left w:val="single" w:sz="4" w:space="0" w:color="000000"/>
              <w:bottom w:val="single" w:sz="4" w:space="0" w:color="000000"/>
              <w:right w:val="single" w:sz="4" w:space="0" w:color="000000"/>
            </w:tcBorders>
          </w:tcPr>
          <w:p w:rsidR="00B71C0B" w:rsidRDefault="00B71C0B">
            <w:pPr>
              <w:ind w:left="43"/>
              <w:rPr>
                <w:b/>
                <w:color w:val="002060"/>
              </w:rPr>
            </w:pPr>
            <w:r>
              <w:rPr>
                <w:b/>
                <w:color w:val="002060"/>
              </w:rPr>
              <w:t>+210.38%</w:t>
            </w:r>
          </w:p>
        </w:tc>
        <w:tc>
          <w:tcPr>
            <w:tcW w:w="1049" w:type="dxa"/>
            <w:tcBorders>
              <w:top w:val="single" w:sz="4" w:space="0" w:color="000000"/>
              <w:left w:val="single" w:sz="4" w:space="0" w:color="000000"/>
              <w:bottom w:val="single" w:sz="4" w:space="0" w:color="000000"/>
              <w:right w:val="single" w:sz="4" w:space="0" w:color="000000"/>
            </w:tcBorders>
          </w:tcPr>
          <w:p w:rsidR="00B71C0B" w:rsidRDefault="00B71C0B">
            <w:pPr>
              <w:ind w:left="89"/>
              <w:rPr>
                <w:b/>
                <w:color w:val="002060"/>
              </w:rPr>
            </w:pPr>
            <w:r>
              <w:rPr>
                <w:b/>
                <w:color w:val="002060"/>
              </w:rPr>
              <w:t>-0.04%</w:t>
            </w:r>
          </w:p>
        </w:tc>
        <w:tc>
          <w:tcPr>
            <w:tcW w:w="1466" w:type="dxa"/>
            <w:tcBorders>
              <w:top w:val="single" w:sz="4" w:space="0" w:color="000000"/>
              <w:left w:val="single" w:sz="4" w:space="0" w:color="000000"/>
              <w:bottom w:val="single" w:sz="4" w:space="0" w:color="000000"/>
              <w:right w:val="single" w:sz="4" w:space="0" w:color="000000"/>
            </w:tcBorders>
          </w:tcPr>
          <w:p w:rsidR="00B71C0B" w:rsidRDefault="00B71C0B">
            <w:pPr>
              <w:ind w:right="21"/>
              <w:jc w:val="center"/>
              <w:rPr>
                <w:b/>
                <w:color w:val="002060"/>
              </w:rPr>
            </w:pPr>
            <w:r>
              <w:rPr>
                <w:b/>
                <w:color w:val="002060"/>
              </w:rPr>
              <w:t>+5.53%</w:t>
            </w:r>
          </w:p>
        </w:tc>
        <w:tc>
          <w:tcPr>
            <w:tcW w:w="1124" w:type="dxa"/>
            <w:tcBorders>
              <w:top w:val="single" w:sz="4" w:space="0" w:color="000000"/>
              <w:left w:val="single" w:sz="4" w:space="0" w:color="000000"/>
              <w:bottom w:val="single" w:sz="4" w:space="0" w:color="000000"/>
              <w:right w:val="single" w:sz="4" w:space="0" w:color="000000"/>
            </w:tcBorders>
          </w:tcPr>
          <w:p w:rsidR="00B71C0B" w:rsidRDefault="00B71C0B">
            <w:pPr>
              <w:ind w:left="70"/>
              <w:rPr>
                <w:b/>
                <w:color w:val="002060"/>
              </w:rPr>
            </w:pPr>
            <w:r>
              <w:rPr>
                <w:b/>
                <w:color w:val="002060"/>
              </w:rPr>
              <w:t>+98.33%</w:t>
            </w:r>
          </w:p>
        </w:tc>
      </w:tr>
      <w:tr w:rsidR="00667705">
        <w:trPr>
          <w:trHeight w:val="576"/>
        </w:trPr>
        <w:tc>
          <w:tcPr>
            <w:tcW w:w="1241" w:type="dxa"/>
            <w:tcBorders>
              <w:top w:val="single" w:sz="4" w:space="0" w:color="000000"/>
              <w:left w:val="single" w:sz="4" w:space="0" w:color="000000"/>
              <w:bottom w:val="single" w:sz="4" w:space="0" w:color="000000"/>
              <w:right w:val="single" w:sz="4" w:space="0" w:color="000000"/>
            </w:tcBorders>
          </w:tcPr>
          <w:p w:rsidR="00667705" w:rsidRDefault="00667705">
            <w:pPr>
              <w:rPr>
                <w:b/>
                <w:color w:val="002060"/>
              </w:rPr>
            </w:pPr>
            <w:r>
              <w:rPr>
                <w:b/>
                <w:color w:val="002060"/>
              </w:rPr>
              <w:lastRenderedPageBreak/>
              <w:t>Apr 2017</w:t>
            </w:r>
          </w:p>
        </w:tc>
        <w:tc>
          <w:tcPr>
            <w:tcW w:w="994" w:type="dxa"/>
            <w:tcBorders>
              <w:top w:val="single" w:sz="4" w:space="0" w:color="000000"/>
              <w:left w:val="single" w:sz="4" w:space="0" w:color="000000"/>
              <w:bottom w:val="single" w:sz="4" w:space="0" w:color="000000"/>
              <w:right w:val="single" w:sz="4" w:space="0" w:color="000000"/>
            </w:tcBorders>
          </w:tcPr>
          <w:p w:rsidR="00667705" w:rsidRDefault="0091083A">
            <w:pPr>
              <w:ind w:left="82"/>
              <w:rPr>
                <w:b/>
                <w:color w:val="002060"/>
              </w:rPr>
            </w:pPr>
            <w:r>
              <w:rPr>
                <w:b/>
                <w:color w:val="002060"/>
              </w:rPr>
              <w:t>+2.09%</w:t>
            </w:r>
          </w:p>
        </w:tc>
        <w:tc>
          <w:tcPr>
            <w:tcW w:w="1469" w:type="dxa"/>
            <w:tcBorders>
              <w:top w:val="single" w:sz="4" w:space="0" w:color="000000"/>
              <w:left w:val="single" w:sz="4" w:space="0" w:color="000000"/>
              <w:bottom w:val="single" w:sz="4" w:space="0" w:color="000000"/>
              <w:right w:val="single" w:sz="4" w:space="0" w:color="000000"/>
            </w:tcBorders>
          </w:tcPr>
          <w:p w:rsidR="00667705" w:rsidRDefault="0091083A">
            <w:pPr>
              <w:ind w:right="21"/>
              <w:jc w:val="center"/>
              <w:rPr>
                <w:b/>
                <w:color w:val="002060"/>
              </w:rPr>
            </w:pPr>
            <w:r>
              <w:rPr>
                <w:b/>
                <w:color w:val="002060"/>
              </w:rPr>
              <w:t>+1.53%</w:t>
            </w:r>
          </w:p>
        </w:tc>
        <w:tc>
          <w:tcPr>
            <w:tcW w:w="1183" w:type="dxa"/>
            <w:tcBorders>
              <w:top w:val="single" w:sz="4" w:space="0" w:color="000000"/>
              <w:left w:val="single" w:sz="4" w:space="0" w:color="000000"/>
              <w:bottom w:val="single" w:sz="4" w:space="0" w:color="000000"/>
              <w:right w:val="single" w:sz="4" w:space="0" w:color="000000"/>
            </w:tcBorders>
          </w:tcPr>
          <w:p w:rsidR="00667705" w:rsidRDefault="0091083A">
            <w:pPr>
              <w:ind w:left="43"/>
              <w:rPr>
                <w:b/>
                <w:color w:val="002060"/>
              </w:rPr>
            </w:pPr>
            <w:r>
              <w:rPr>
                <w:b/>
                <w:color w:val="002060"/>
              </w:rPr>
              <w:t>+216.85%</w:t>
            </w:r>
          </w:p>
        </w:tc>
        <w:tc>
          <w:tcPr>
            <w:tcW w:w="1049" w:type="dxa"/>
            <w:tcBorders>
              <w:top w:val="single" w:sz="4" w:space="0" w:color="000000"/>
              <w:left w:val="single" w:sz="4" w:space="0" w:color="000000"/>
              <w:bottom w:val="single" w:sz="4" w:space="0" w:color="000000"/>
              <w:right w:val="single" w:sz="4" w:space="0" w:color="000000"/>
            </w:tcBorders>
          </w:tcPr>
          <w:p w:rsidR="00667705" w:rsidRDefault="00667705">
            <w:pPr>
              <w:ind w:left="89"/>
              <w:rPr>
                <w:b/>
                <w:color w:val="002060"/>
              </w:rPr>
            </w:pPr>
            <w:r>
              <w:rPr>
                <w:b/>
                <w:color w:val="002060"/>
              </w:rPr>
              <w:t>+0.91%</w:t>
            </w:r>
          </w:p>
        </w:tc>
        <w:tc>
          <w:tcPr>
            <w:tcW w:w="1466" w:type="dxa"/>
            <w:tcBorders>
              <w:top w:val="single" w:sz="4" w:space="0" w:color="000000"/>
              <w:left w:val="single" w:sz="4" w:space="0" w:color="000000"/>
              <w:bottom w:val="single" w:sz="4" w:space="0" w:color="000000"/>
              <w:right w:val="single" w:sz="4" w:space="0" w:color="000000"/>
            </w:tcBorders>
          </w:tcPr>
          <w:p w:rsidR="00667705" w:rsidRDefault="00667705">
            <w:pPr>
              <w:ind w:right="21"/>
              <w:jc w:val="center"/>
              <w:rPr>
                <w:b/>
                <w:color w:val="002060"/>
              </w:rPr>
            </w:pPr>
            <w:r>
              <w:rPr>
                <w:b/>
                <w:color w:val="002060"/>
              </w:rPr>
              <w:t>+6.49%</w:t>
            </w:r>
          </w:p>
        </w:tc>
        <w:tc>
          <w:tcPr>
            <w:tcW w:w="1124" w:type="dxa"/>
            <w:tcBorders>
              <w:top w:val="single" w:sz="4" w:space="0" w:color="000000"/>
              <w:left w:val="single" w:sz="4" w:space="0" w:color="000000"/>
              <w:bottom w:val="single" w:sz="4" w:space="0" w:color="000000"/>
              <w:right w:val="single" w:sz="4" w:space="0" w:color="000000"/>
            </w:tcBorders>
          </w:tcPr>
          <w:p w:rsidR="00667705" w:rsidRDefault="00667705">
            <w:pPr>
              <w:ind w:left="70"/>
              <w:rPr>
                <w:b/>
                <w:color w:val="002060"/>
              </w:rPr>
            </w:pPr>
            <w:r>
              <w:rPr>
                <w:b/>
                <w:color w:val="002060"/>
              </w:rPr>
              <w:t>+100.13%</w:t>
            </w:r>
          </w:p>
        </w:tc>
      </w:tr>
    </w:tbl>
    <w:p w:rsidR="00D23365" w:rsidRDefault="000919C9">
      <w:pPr>
        <w:spacing w:after="0"/>
        <w:ind w:left="14"/>
      </w:pPr>
      <w:r>
        <w:rPr>
          <w:color w:val="002060"/>
          <w:sz w:val="24"/>
        </w:rPr>
        <w:t xml:space="preserve"> </w:t>
      </w:r>
      <w:r>
        <w:t xml:space="preserve"> </w:t>
      </w:r>
    </w:p>
    <w:p w:rsidR="00D23365" w:rsidRDefault="000919C9">
      <w:pPr>
        <w:spacing w:after="221"/>
        <w:ind w:left="14"/>
      </w:pPr>
      <w:r>
        <w:rPr>
          <w:color w:val="002060"/>
          <w:sz w:val="24"/>
        </w:rPr>
        <w:t xml:space="preserve"> </w:t>
      </w:r>
      <w:bookmarkStart w:id="0" w:name="_GoBack"/>
      <w:bookmarkEnd w:id="0"/>
      <w:r>
        <w:rPr>
          <w:color w:val="002060"/>
          <w:sz w:val="24"/>
        </w:rPr>
        <w:t xml:space="preserve"> </w:t>
      </w:r>
    </w:p>
    <w:p w:rsidR="00672C08" w:rsidRDefault="00672C08" w:rsidP="00667705">
      <w:pPr>
        <w:spacing w:after="221" w:line="261" w:lineRule="auto"/>
        <w:ind w:left="9" w:hanging="10"/>
        <w:rPr>
          <w:color w:val="002060"/>
          <w:sz w:val="24"/>
        </w:rPr>
      </w:pPr>
      <w:r>
        <w:rPr>
          <w:color w:val="002060"/>
          <w:sz w:val="24"/>
        </w:rPr>
        <w:t xml:space="preserve">In </w:t>
      </w:r>
      <w:r w:rsidR="00667705">
        <w:rPr>
          <w:color w:val="002060"/>
          <w:sz w:val="24"/>
        </w:rPr>
        <w:t>April</w:t>
      </w:r>
      <w:r w:rsidR="00B71C0B">
        <w:rPr>
          <w:color w:val="002060"/>
          <w:sz w:val="24"/>
        </w:rPr>
        <w:t xml:space="preserve">, the S&amp;P500 </w:t>
      </w:r>
      <w:r w:rsidR="00667705">
        <w:rPr>
          <w:color w:val="002060"/>
          <w:sz w:val="24"/>
        </w:rPr>
        <w:t>rose by 0.91</w:t>
      </w:r>
      <w:r w:rsidR="00B71C0B">
        <w:rPr>
          <w:color w:val="002060"/>
          <w:sz w:val="24"/>
        </w:rPr>
        <w:t xml:space="preserve">% and the Fund </w:t>
      </w:r>
      <w:r w:rsidR="0091083A">
        <w:rPr>
          <w:color w:val="002060"/>
          <w:sz w:val="24"/>
        </w:rPr>
        <w:t>rose by 2.09</w:t>
      </w:r>
      <w:r w:rsidR="00B71C0B">
        <w:rPr>
          <w:color w:val="002060"/>
          <w:sz w:val="24"/>
        </w:rPr>
        <w:t>%</w:t>
      </w:r>
      <w:r w:rsidR="00667705">
        <w:rPr>
          <w:color w:val="002060"/>
          <w:sz w:val="24"/>
        </w:rPr>
        <w:t>.</w:t>
      </w:r>
      <w:r w:rsidR="00B71C0B">
        <w:rPr>
          <w:color w:val="002060"/>
          <w:sz w:val="24"/>
        </w:rPr>
        <w:t xml:space="preserve"> </w:t>
      </w:r>
      <w:r w:rsidR="00667705">
        <w:rPr>
          <w:color w:val="002060"/>
          <w:sz w:val="24"/>
        </w:rPr>
        <w:t xml:space="preserve"> Our sector of the market had been parked for four months but came back to life on April 6</w:t>
      </w:r>
      <w:r w:rsidR="00667705" w:rsidRPr="00667705">
        <w:rPr>
          <w:color w:val="002060"/>
          <w:sz w:val="24"/>
          <w:vertAlign w:val="superscript"/>
        </w:rPr>
        <w:t>th</w:t>
      </w:r>
      <w:r w:rsidR="00667705">
        <w:rPr>
          <w:color w:val="002060"/>
          <w:sz w:val="24"/>
        </w:rPr>
        <w:t xml:space="preserve"> and our relative performance has since improved.  This is not a clear sea change though, as most of this year’s gains in the S&amp;P come from the familiar few tech stocks and these continue to run.  Take out 10 tech stocks, and the S&amp;P is up just 2% year-to-date, but it is really the same three as in 2015 – Amazon, Facebook and Google - that are driving this.  We should have joined in but my weakness is that I don’t believe.</w:t>
      </w:r>
    </w:p>
    <w:p w:rsidR="00667705" w:rsidRDefault="00667705" w:rsidP="00667705">
      <w:pPr>
        <w:spacing w:after="221" w:line="261" w:lineRule="auto"/>
        <w:ind w:left="9" w:hanging="10"/>
        <w:rPr>
          <w:color w:val="002060"/>
          <w:sz w:val="24"/>
        </w:rPr>
      </w:pPr>
    </w:p>
    <w:p w:rsidR="00667705" w:rsidRDefault="00667705" w:rsidP="00667705">
      <w:pPr>
        <w:spacing w:after="221" w:line="261" w:lineRule="auto"/>
        <w:ind w:left="9" w:hanging="10"/>
        <w:rPr>
          <w:color w:val="002060"/>
          <w:sz w:val="24"/>
        </w:rPr>
      </w:pPr>
      <w:r>
        <w:rPr>
          <w:color w:val="002060"/>
          <w:sz w:val="24"/>
        </w:rPr>
        <w:t xml:space="preserve">In stock news, we are saying goodbye to our 8-year holding </w:t>
      </w:r>
      <w:proofErr w:type="spellStart"/>
      <w:r>
        <w:rPr>
          <w:color w:val="002060"/>
          <w:sz w:val="24"/>
        </w:rPr>
        <w:t>Mocon</w:t>
      </w:r>
      <w:proofErr w:type="spellEnd"/>
      <w:r>
        <w:rPr>
          <w:color w:val="002060"/>
          <w:sz w:val="24"/>
        </w:rPr>
        <w:t xml:space="preserve">, which is being taken over by </w:t>
      </w:r>
      <w:proofErr w:type="spellStart"/>
      <w:r>
        <w:rPr>
          <w:color w:val="002060"/>
          <w:sz w:val="24"/>
        </w:rPr>
        <w:t>Ametek</w:t>
      </w:r>
      <w:proofErr w:type="spellEnd"/>
      <w:r>
        <w:rPr>
          <w:color w:val="002060"/>
          <w:sz w:val="24"/>
        </w:rPr>
        <w:t xml:space="preserve">, gaining us 30 basis points, but our largest holding Towne Bank, decided to do its own taking over of Paragon Commercial, and that cost us a similar amount.  Towne’s arguments are persuasive, however, and we are staying with this large position.  Elsewhere, second biggest holding, FS Bancorp, had good earnings and surged, which gained us 95 basis points, so overall our improvement this month was also stock-based.  </w:t>
      </w:r>
    </w:p>
    <w:p w:rsidR="00667705" w:rsidRDefault="00667705" w:rsidP="00667705">
      <w:pPr>
        <w:spacing w:after="221" w:line="261" w:lineRule="auto"/>
        <w:ind w:left="9" w:hanging="10"/>
        <w:rPr>
          <w:color w:val="002060"/>
          <w:sz w:val="24"/>
        </w:rPr>
      </w:pPr>
    </w:p>
    <w:p w:rsidR="00667705" w:rsidRDefault="00667705" w:rsidP="00667705">
      <w:pPr>
        <w:spacing w:after="221" w:line="261" w:lineRule="auto"/>
        <w:ind w:left="9" w:hanging="10"/>
        <w:rPr>
          <w:color w:val="002060"/>
          <w:sz w:val="24"/>
        </w:rPr>
      </w:pPr>
      <w:r>
        <w:rPr>
          <w:color w:val="002060"/>
          <w:sz w:val="24"/>
        </w:rPr>
        <w:t xml:space="preserve">Our relative performance will depend on bonds. If they retest their low yields as the chartists predict, the large tech stocks will have it as growth proxies.  And yet with debt levels relative to GNP reaching new records, and continued signs of pickups in growth and inflation expectations, it seems the low risk option is to stick with value and wait. </w:t>
      </w:r>
    </w:p>
    <w:p w:rsidR="00D23365" w:rsidRDefault="000919C9">
      <w:pPr>
        <w:spacing w:after="187"/>
        <w:ind w:left="14"/>
      </w:pPr>
      <w:r>
        <w:t xml:space="preserve">  </w:t>
      </w:r>
    </w:p>
    <w:p w:rsidR="00D23365" w:rsidRDefault="000919C9">
      <w:pPr>
        <w:spacing w:after="118" w:line="218" w:lineRule="auto"/>
        <w:ind w:left="-5" w:hanging="10"/>
      </w:pPr>
      <w:r>
        <w:rPr>
          <w:rFonts w:ascii="Arial" w:eastAsia="Arial" w:hAnsi="Arial" w:cs="Arial"/>
          <w:b/>
          <w:sz w:val="16"/>
        </w:rPr>
        <w:t>Risk Warnings and Other Important Information</w:t>
      </w:r>
      <w:r>
        <w:rPr>
          <w:rFonts w:ascii="Times New Roman" w:eastAsia="Times New Roman" w:hAnsi="Times New Roman" w:cs="Times New Roman"/>
          <w:sz w:val="16"/>
        </w:rPr>
        <w:t xml:space="preserve"> </w:t>
      </w:r>
      <w:r>
        <w:t xml:space="preserve"> </w:t>
      </w:r>
    </w:p>
    <w:p w:rsidR="00D23365" w:rsidRDefault="000919C9">
      <w:pPr>
        <w:spacing w:after="232" w:line="247" w:lineRule="auto"/>
        <w:ind w:left="-5" w:hanging="10"/>
      </w:pPr>
      <w:r>
        <w:rPr>
          <w:rFonts w:ascii="Arial" w:eastAsia="Arial" w:hAnsi="Arial" w:cs="Arial"/>
          <w:sz w:val="16"/>
        </w:rPr>
        <w:t xml:space="preserve">This document is issued by De Lisle Partners LLP, registered in England No.OC310994, authorized and regulated by the </w:t>
      </w:r>
      <w:r>
        <w:t xml:space="preserve"> </w:t>
      </w:r>
      <w:r>
        <w:rPr>
          <w:rFonts w:ascii="Arial" w:eastAsia="Arial" w:hAnsi="Arial" w:cs="Arial"/>
          <w:sz w:val="16"/>
        </w:rPr>
        <w:t xml:space="preserve">Financial Conduct Authority. The registered office of </w:t>
      </w:r>
      <w:proofErr w:type="spellStart"/>
      <w:r>
        <w:rPr>
          <w:rFonts w:ascii="Arial" w:eastAsia="Arial" w:hAnsi="Arial" w:cs="Arial"/>
          <w:sz w:val="16"/>
        </w:rPr>
        <w:t>Valu-Trac</w:t>
      </w:r>
      <w:proofErr w:type="spellEnd"/>
      <w:r>
        <w:rPr>
          <w:rFonts w:ascii="Arial" w:eastAsia="Arial" w:hAnsi="Arial" w:cs="Arial"/>
          <w:sz w:val="16"/>
        </w:rPr>
        <w:t xml:space="preserve"> Investment Management Ltd is Suite 150-153, 2nd Floor Temple Chambers, Temple Avenue, London, EC4Y 0DA, Head Office at Mains of Orton, Orton, </w:t>
      </w:r>
      <w:proofErr w:type="spellStart"/>
      <w:r>
        <w:rPr>
          <w:rFonts w:ascii="Arial" w:eastAsia="Arial" w:hAnsi="Arial" w:cs="Arial"/>
          <w:sz w:val="16"/>
        </w:rPr>
        <w:t>Fochabers</w:t>
      </w:r>
      <w:proofErr w:type="spellEnd"/>
      <w:r>
        <w:rPr>
          <w:rFonts w:ascii="Arial" w:eastAsia="Arial" w:hAnsi="Arial" w:cs="Arial"/>
          <w:sz w:val="16"/>
        </w:rPr>
        <w:t xml:space="preserve">, Moray, Scotland IV32 7QE. </w:t>
      </w:r>
      <w:r>
        <w:t xml:space="preserve"> </w:t>
      </w:r>
    </w:p>
    <w:p w:rsidR="00D23365" w:rsidRDefault="000919C9">
      <w:pPr>
        <w:spacing w:after="209" w:line="247" w:lineRule="auto"/>
        <w:ind w:left="-5" w:hanging="10"/>
      </w:pPr>
      <w:r>
        <w:rPr>
          <w:rFonts w:ascii="Arial" w:eastAsia="Arial" w:hAnsi="Arial" w:cs="Arial"/>
          <w:sz w:val="16"/>
        </w:rPr>
        <w:t xml:space="preserve">The Fund qualifies as an Undertaking for Collective Investment in Transferable Securities (UCITSIII).  </w:t>
      </w:r>
      <w:r>
        <w:t xml:space="preserve"> </w:t>
      </w:r>
    </w:p>
    <w:p w:rsidR="00D23365" w:rsidRDefault="000919C9">
      <w:pPr>
        <w:spacing w:after="209" w:line="247" w:lineRule="auto"/>
        <w:ind w:left="-5" w:hanging="10"/>
      </w:pPr>
      <w:r>
        <w:rPr>
          <w:rFonts w:ascii="Arial" w:eastAsia="Arial" w:hAnsi="Arial" w:cs="Arial"/>
          <w:sz w:val="16"/>
        </w:rPr>
        <w:t xml:space="preserve">This document should not be construed as investment advice or an offer to invest in the Fund. Nor should its content be interpreted as investment or tax advice for which you should consult your independent financial adviser and/or accountant. The information and opinion it contains have been compiled or arrived at from sources believed to be reliable at the time and are given in good faith, but no representation is made as to their accuracy, completeness or correctness. Any opinion expressed in this document represents the views of De Lisle Partners at the time of preparation, but is subject to change. For professional use only.  </w:t>
      </w:r>
      <w:r>
        <w:t xml:space="preserve"> </w:t>
      </w:r>
    </w:p>
    <w:p w:rsidR="00D23365" w:rsidRDefault="000919C9">
      <w:pPr>
        <w:spacing w:after="118" w:line="218" w:lineRule="auto"/>
        <w:ind w:left="-5" w:hanging="10"/>
      </w:pPr>
      <w:r>
        <w:rPr>
          <w:rFonts w:ascii="Arial" w:eastAsia="Arial" w:hAnsi="Arial" w:cs="Arial"/>
          <w:b/>
          <w:sz w:val="16"/>
        </w:rPr>
        <w:t>The value of an investment and the income from it can fall as well as rise as a result of market and currency fluctuations and you may not get back the amount originally invested. Past performance should not be viewed as a guide to future performance. Please read the Prospectus before making an investment.</w:t>
      </w:r>
      <w:r>
        <w:rPr>
          <w:rFonts w:ascii="Arial" w:eastAsia="Arial" w:hAnsi="Arial" w:cs="Arial"/>
          <w:sz w:val="16"/>
        </w:rPr>
        <w:t xml:space="preserve"> </w:t>
      </w:r>
      <w:r>
        <w:t xml:space="preserve"> </w:t>
      </w:r>
    </w:p>
    <w:sectPr w:rsidR="00D23365">
      <w:pgSz w:w="11906" w:h="16838"/>
      <w:pgMar w:top="1534" w:right="1491" w:bottom="174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65"/>
    <w:rsid w:val="00033B05"/>
    <w:rsid w:val="000919C9"/>
    <w:rsid w:val="005D338C"/>
    <w:rsid w:val="00667705"/>
    <w:rsid w:val="00672C08"/>
    <w:rsid w:val="0091083A"/>
    <w:rsid w:val="00980F78"/>
    <w:rsid w:val="00AF636E"/>
    <w:rsid w:val="00B71C0B"/>
    <w:rsid w:val="00BA0585"/>
    <w:rsid w:val="00C31440"/>
    <w:rsid w:val="00D23365"/>
    <w:rsid w:val="00D8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CB88"/>
  <w15:docId w15:val="{D705281C-A5FF-46DC-BC08-356E0426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4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delisle</dc:creator>
  <cp:keywords/>
  <cp:lastModifiedBy>sarah delisle</cp:lastModifiedBy>
  <cp:revision>4</cp:revision>
  <cp:lastPrinted>2017-04-05T20:09:00Z</cp:lastPrinted>
  <dcterms:created xsi:type="dcterms:W3CDTF">2017-05-02T13:30:00Z</dcterms:created>
  <dcterms:modified xsi:type="dcterms:W3CDTF">2017-05-02T19:01:00Z</dcterms:modified>
</cp:coreProperties>
</file>