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FD" w:rsidRDefault="00992272">
      <w:pPr>
        <w:spacing w:after="0"/>
        <w:ind w:left="4069"/>
      </w:pPr>
      <w:r>
        <w:rPr>
          <w:b/>
          <w:color w:val="002060"/>
          <w:sz w:val="24"/>
        </w:rPr>
        <w:t>August</w:t>
      </w:r>
      <w:r w:rsidR="00532F44">
        <w:rPr>
          <w:b/>
          <w:color w:val="002060"/>
          <w:sz w:val="24"/>
        </w:rPr>
        <w:t xml:space="preserve"> 2017 </w:t>
      </w:r>
      <w:r w:rsidR="00532F44">
        <w:t xml:space="preserve">  </w:t>
      </w:r>
    </w:p>
    <w:p w:rsidR="008B3CFD" w:rsidRDefault="00532F44">
      <w:pPr>
        <w:spacing w:after="0"/>
        <w:ind w:left="177"/>
        <w:jc w:val="center"/>
      </w:pPr>
      <w:r>
        <w:t xml:space="preserve"> </w:t>
      </w:r>
    </w:p>
    <w:tbl>
      <w:tblPr>
        <w:tblStyle w:val="TableGrid"/>
        <w:tblW w:w="8529" w:type="dxa"/>
        <w:tblInd w:w="43" w:type="dxa"/>
        <w:tblCellMar>
          <w:top w:w="139" w:type="dxa"/>
          <w:left w:w="108" w:type="dxa"/>
          <w:right w:w="24" w:type="dxa"/>
        </w:tblCellMar>
        <w:tblLook w:val="04A0" w:firstRow="1" w:lastRow="0" w:firstColumn="1" w:lastColumn="0" w:noHBand="0" w:noVBand="1"/>
      </w:tblPr>
      <w:tblGrid>
        <w:gridCol w:w="1229"/>
        <w:gridCol w:w="994"/>
        <w:gridCol w:w="1469"/>
        <w:gridCol w:w="1181"/>
        <w:gridCol w:w="1047"/>
        <w:gridCol w:w="1466"/>
        <w:gridCol w:w="1143"/>
      </w:tblGrid>
      <w:tr w:rsidR="008B3CFD">
        <w:trPr>
          <w:trHeight w:val="98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9"/>
              <w:jc w:val="center"/>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41"/>
              <w:jc w:val="center"/>
            </w:pPr>
            <w:r>
              <w:rPr>
                <w:b/>
                <w:color w:val="002060"/>
              </w:rPr>
              <w:t>S&amp;P500</w:t>
            </w:r>
            <w:r>
              <w:t xml:space="preserve"> </w:t>
            </w:r>
          </w:p>
          <w:p w:rsidR="008B3CFD" w:rsidRDefault="00532F44">
            <w:pPr>
              <w:ind w:right="40"/>
              <w:jc w:val="center"/>
            </w:pPr>
            <w:r>
              <w:rPr>
                <w:b/>
                <w:color w:val="002060"/>
              </w:rPr>
              <w:t>Index</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r>
      <w:tr w:rsidR="008B3CFD">
        <w:trPr>
          <w:trHeight w:val="98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jc w:val="center"/>
            </w:pPr>
            <w:r>
              <w:rPr>
                <w:i/>
                <w:color w:val="002060"/>
              </w:rPr>
              <w:t>Inception to Date</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left="79"/>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jc w:val="center"/>
            </w:pPr>
            <w:r>
              <w:rPr>
                <w:i/>
                <w:color w:val="002060"/>
              </w:rPr>
              <w:t>Inception to Date</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+14.01%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+4.78%</w:t>
            </w:r>
            <w:r>
              <w:t xml:space="preserve">  </w:t>
            </w:r>
          </w:p>
        </w:tc>
      </w:tr>
      <w:tr w:rsidR="008B3CFD">
        <w:trPr>
          <w:trHeight w:val="675"/>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+33.29%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+19.05%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+38.70%</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+23.25%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9"/>
              <w:jc w:val="center"/>
            </w:pPr>
            <w:r>
              <w:rPr>
                <w:b/>
                <w:color w:val="002060"/>
              </w:rPr>
              <w:t>-27.86%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5"/>
              <w:jc w:val="center"/>
            </w:pPr>
            <w:r>
              <w:rPr>
                <w:b/>
                <w:color w:val="002060"/>
              </w:rPr>
              <w:t>-24.18%</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+2.97%</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5"/>
              <w:jc w:val="center"/>
            </w:pPr>
            <w:r>
              <w:rPr>
                <w:b/>
                <w:color w:val="002060"/>
              </w:rPr>
              <w:t>-6.40%</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+28.65%</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+5.57%</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+30.96%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7"/>
              <w:jc w:val="center"/>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+5.56%</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+62.61%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+19.71%</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+132.46%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+55.15%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+141.59%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+72.82%</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+136.51%</w:t>
            </w:r>
            <w:r>
              <w:rPr>
                <w:color w:val="002060"/>
              </w:rPr>
              <w:t xml:space="preserve">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7"/>
              <w:jc w:val="center"/>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+71.56%</w:t>
            </w:r>
            <w:r>
              <w:rPr>
                <w:color w:val="002060"/>
              </w:rPr>
              <w:t xml:space="preserve">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0"/>
              <w:jc w:val="center"/>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3"/>
              <w:jc w:val="center"/>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62"/>
            </w:pPr>
            <w:r>
              <w:rPr>
                <w:b/>
                <w:color w:val="002060"/>
              </w:rPr>
              <w:t xml:space="preserve">+212.07%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0"/>
              <w:jc w:val="center"/>
            </w:pP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8"/>
              <w:jc w:val="center"/>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142"/>
              <w:jc w:val="right"/>
            </w:pPr>
            <w:r>
              <w:rPr>
                <w:b/>
                <w:color w:val="002060"/>
              </w:rPr>
              <w:t xml:space="preserve">+87.93% </w:t>
            </w:r>
            <w:r>
              <w:t xml:space="preserve"> </w:t>
            </w:r>
          </w:p>
        </w:tc>
      </w:tr>
      <w:tr w:rsidR="008B3CFD">
        <w:trPr>
          <w:trHeight w:val="679"/>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i/>
                <w:color w:val="002060"/>
              </w:rPr>
              <w:lastRenderedPageBreak/>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right="80"/>
              <w:jc w:val="center"/>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7"/>
              <w:jc w:val="center"/>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39"/>
              <w:jc w:val="center"/>
            </w:pPr>
            <w:r>
              <w:rPr>
                <w:i/>
                <w:color w:val="002060"/>
              </w:rPr>
              <w:t xml:space="preserve">ITD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85"/>
              <w:jc w:val="center"/>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5"/>
              <w:jc w:val="center"/>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40"/>
              <w:jc w:val="center"/>
            </w:pPr>
            <w:r>
              <w:rPr>
                <w:i/>
                <w:color w:val="002060"/>
              </w:rPr>
              <w:t xml:space="preserve">ITD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Jan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right="156"/>
              <w:jc w:val="right"/>
            </w:pPr>
            <w:r>
              <w:rPr>
                <w:b/>
                <w:color w:val="002060"/>
              </w:rPr>
              <w:t xml:space="preserve">-1.42%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-1.42%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+207.46%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161"/>
              <w:jc w:val="right"/>
            </w:pPr>
            <w:r>
              <w:rPr>
                <w:b/>
                <w:color w:val="002060"/>
              </w:rPr>
              <w:t xml:space="preserve">+1.79%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+1.79%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+91.29%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Feb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+1.63%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 xml:space="preserve">+0.13%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+212.48%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+3.72%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+5.57%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+98.40%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Mar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-0.67%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-0.54%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+210.38%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113"/>
              <w:jc w:val="center"/>
            </w:pPr>
            <w:r>
              <w:rPr>
                <w:b/>
                <w:color w:val="002060"/>
              </w:rPr>
              <w:t xml:space="preserve">-0.04%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+5.53%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+98.33%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Apr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+2.09%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66"/>
              <w:jc w:val="center"/>
            </w:pPr>
            <w:r>
              <w:rPr>
                <w:b/>
                <w:color w:val="002060"/>
              </w:rPr>
              <w:t xml:space="preserve">+1.53%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+216.85%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+0.91%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69"/>
              <w:jc w:val="center"/>
            </w:pPr>
            <w:r>
              <w:rPr>
                <w:b/>
                <w:color w:val="002060"/>
              </w:rPr>
              <w:t xml:space="preserve">+6.49%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+100.13% </w:t>
            </w:r>
          </w:p>
        </w:tc>
      </w:tr>
      <w:tr w:rsidR="008B3CFD">
        <w:trPr>
          <w:trHeight w:val="679"/>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May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-1.16%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66"/>
              <w:jc w:val="center"/>
            </w:pPr>
            <w:r>
              <w:rPr>
                <w:b/>
                <w:color w:val="002060"/>
              </w:rPr>
              <w:t xml:space="preserve">+0.35%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+213.16%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+1.16%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69"/>
              <w:jc w:val="center"/>
            </w:pPr>
            <w:r>
              <w:rPr>
                <w:b/>
                <w:color w:val="002060"/>
              </w:rPr>
              <w:t xml:space="preserve">+7.73%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+102.45% </w:t>
            </w:r>
          </w:p>
        </w:tc>
      </w:tr>
      <w:tr w:rsidR="000D7DB7">
        <w:trPr>
          <w:trHeight w:val="679"/>
        </w:trPr>
        <w:tc>
          <w:tcPr>
            <w:tcW w:w="1229" w:type="dxa"/>
            <w:tcBorders>
              <w:top w:val="single" w:sz="4" w:space="0" w:color="000000"/>
              <w:left w:val="single" w:sz="4" w:space="0" w:color="000000"/>
              <w:bottom w:val="single" w:sz="4" w:space="0" w:color="000000"/>
              <w:right w:val="single" w:sz="4" w:space="0" w:color="000000"/>
            </w:tcBorders>
          </w:tcPr>
          <w:p w:rsidR="000D7DB7" w:rsidRDefault="000D7DB7">
            <w:pPr>
              <w:rPr>
                <w:b/>
                <w:color w:val="002060"/>
              </w:rPr>
            </w:pPr>
            <w:r>
              <w:rPr>
                <w:b/>
                <w:color w:val="002060"/>
              </w:rPr>
              <w:t>Jun 2017</w:t>
            </w:r>
          </w:p>
        </w:tc>
        <w:tc>
          <w:tcPr>
            <w:tcW w:w="994" w:type="dxa"/>
            <w:tcBorders>
              <w:top w:val="single" w:sz="4" w:space="0" w:color="000000"/>
              <w:left w:val="single" w:sz="4" w:space="0" w:color="000000"/>
              <w:bottom w:val="single" w:sz="4" w:space="0" w:color="000000"/>
              <w:right w:val="single" w:sz="4" w:space="0" w:color="000000"/>
            </w:tcBorders>
          </w:tcPr>
          <w:p w:rsidR="000D7DB7" w:rsidRDefault="00157864">
            <w:pPr>
              <w:ind w:left="82"/>
              <w:rPr>
                <w:b/>
                <w:color w:val="002060"/>
              </w:rPr>
            </w:pPr>
            <w:r>
              <w:rPr>
                <w:b/>
                <w:color w:val="002060"/>
              </w:rPr>
              <w:t>+4.81%</w:t>
            </w:r>
          </w:p>
        </w:tc>
        <w:tc>
          <w:tcPr>
            <w:tcW w:w="1469" w:type="dxa"/>
            <w:tcBorders>
              <w:top w:val="single" w:sz="4" w:space="0" w:color="000000"/>
              <w:left w:val="single" w:sz="4" w:space="0" w:color="000000"/>
              <w:bottom w:val="single" w:sz="4" w:space="0" w:color="000000"/>
              <w:right w:val="single" w:sz="4" w:space="0" w:color="000000"/>
            </w:tcBorders>
          </w:tcPr>
          <w:p w:rsidR="000D7DB7" w:rsidRDefault="00157864">
            <w:pPr>
              <w:ind w:right="66"/>
              <w:jc w:val="center"/>
              <w:rPr>
                <w:b/>
                <w:color w:val="002060"/>
              </w:rPr>
            </w:pPr>
            <w:r>
              <w:rPr>
                <w:b/>
                <w:color w:val="002060"/>
              </w:rPr>
              <w:t>+5.18%</w:t>
            </w:r>
          </w:p>
        </w:tc>
        <w:tc>
          <w:tcPr>
            <w:tcW w:w="1181" w:type="dxa"/>
            <w:tcBorders>
              <w:top w:val="single" w:sz="4" w:space="0" w:color="000000"/>
              <w:left w:val="single" w:sz="4" w:space="0" w:color="000000"/>
              <w:bottom w:val="single" w:sz="4" w:space="0" w:color="000000"/>
              <w:right w:val="single" w:sz="4" w:space="0" w:color="000000"/>
            </w:tcBorders>
          </w:tcPr>
          <w:p w:rsidR="000D7DB7" w:rsidRDefault="00157864">
            <w:pPr>
              <w:ind w:left="43"/>
              <w:rPr>
                <w:b/>
                <w:color w:val="002060"/>
              </w:rPr>
            </w:pPr>
            <w:r>
              <w:rPr>
                <w:b/>
                <w:color w:val="002060"/>
              </w:rPr>
              <w:t>+228.24%</w:t>
            </w:r>
          </w:p>
        </w:tc>
        <w:tc>
          <w:tcPr>
            <w:tcW w:w="1047" w:type="dxa"/>
            <w:tcBorders>
              <w:top w:val="single" w:sz="4" w:space="0" w:color="000000"/>
              <w:left w:val="single" w:sz="4" w:space="0" w:color="000000"/>
              <w:bottom w:val="single" w:sz="4" w:space="0" w:color="000000"/>
              <w:right w:val="single" w:sz="4" w:space="0" w:color="000000"/>
            </w:tcBorders>
          </w:tcPr>
          <w:p w:rsidR="000D7DB7" w:rsidRDefault="000D7DB7">
            <w:pPr>
              <w:ind w:left="89"/>
              <w:rPr>
                <w:b/>
                <w:color w:val="002060"/>
              </w:rPr>
            </w:pPr>
            <w:r>
              <w:rPr>
                <w:b/>
                <w:color w:val="002060"/>
              </w:rPr>
              <w:t>+0.48%</w:t>
            </w:r>
          </w:p>
        </w:tc>
        <w:tc>
          <w:tcPr>
            <w:tcW w:w="1466" w:type="dxa"/>
            <w:tcBorders>
              <w:top w:val="single" w:sz="4" w:space="0" w:color="000000"/>
              <w:left w:val="single" w:sz="4" w:space="0" w:color="000000"/>
              <w:bottom w:val="single" w:sz="4" w:space="0" w:color="000000"/>
              <w:right w:val="single" w:sz="4" w:space="0" w:color="000000"/>
            </w:tcBorders>
          </w:tcPr>
          <w:p w:rsidR="000D7DB7" w:rsidRDefault="000D7DB7">
            <w:pPr>
              <w:ind w:right="69"/>
              <w:jc w:val="center"/>
              <w:rPr>
                <w:b/>
                <w:color w:val="002060"/>
              </w:rPr>
            </w:pPr>
            <w:r>
              <w:rPr>
                <w:b/>
                <w:color w:val="002060"/>
              </w:rPr>
              <w:t>+8.24%</w:t>
            </w:r>
          </w:p>
        </w:tc>
        <w:tc>
          <w:tcPr>
            <w:tcW w:w="1143" w:type="dxa"/>
            <w:tcBorders>
              <w:top w:val="single" w:sz="4" w:space="0" w:color="000000"/>
              <w:left w:val="single" w:sz="4" w:space="0" w:color="000000"/>
              <w:bottom w:val="single" w:sz="4" w:space="0" w:color="000000"/>
              <w:right w:val="single" w:sz="4" w:space="0" w:color="000000"/>
            </w:tcBorders>
          </w:tcPr>
          <w:p w:rsidR="000D7DB7" w:rsidRDefault="000D7DB7">
            <w:pPr>
              <w:ind w:left="70"/>
              <w:rPr>
                <w:b/>
                <w:color w:val="002060"/>
              </w:rPr>
            </w:pPr>
            <w:r>
              <w:rPr>
                <w:b/>
                <w:color w:val="002060"/>
              </w:rPr>
              <w:t>+103.42%</w:t>
            </w:r>
          </w:p>
        </w:tc>
      </w:tr>
      <w:tr w:rsidR="00992272">
        <w:trPr>
          <w:trHeight w:val="679"/>
        </w:trPr>
        <w:tc>
          <w:tcPr>
            <w:tcW w:w="1229" w:type="dxa"/>
            <w:tcBorders>
              <w:top w:val="single" w:sz="4" w:space="0" w:color="000000"/>
              <w:left w:val="single" w:sz="4" w:space="0" w:color="000000"/>
              <w:bottom w:val="single" w:sz="4" w:space="0" w:color="000000"/>
              <w:right w:val="single" w:sz="4" w:space="0" w:color="000000"/>
            </w:tcBorders>
          </w:tcPr>
          <w:p w:rsidR="00992272" w:rsidRDefault="00992272">
            <w:pPr>
              <w:rPr>
                <w:b/>
                <w:color w:val="002060"/>
              </w:rPr>
            </w:pPr>
            <w:r>
              <w:rPr>
                <w:b/>
                <w:color w:val="002060"/>
              </w:rPr>
              <w:t>July 2017</w:t>
            </w:r>
          </w:p>
        </w:tc>
        <w:tc>
          <w:tcPr>
            <w:tcW w:w="994" w:type="dxa"/>
            <w:tcBorders>
              <w:top w:val="single" w:sz="4" w:space="0" w:color="000000"/>
              <w:left w:val="single" w:sz="4" w:space="0" w:color="000000"/>
              <w:bottom w:val="single" w:sz="4" w:space="0" w:color="000000"/>
              <w:right w:val="single" w:sz="4" w:space="0" w:color="000000"/>
            </w:tcBorders>
          </w:tcPr>
          <w:p w:rsidR="00992272" w:rsidRDefault="00992272">
            <w:pPr>
              <w:ind w:left="82"/>
              <w:rPr>
                <w:b/>
                <w:color w:val="002060"/>
              </w:rPr>
            </w:pPr>
            <w:r>
              <w:rPr>
                <w:b/>
                <w:color w:val="002060"/>
              </w:rPr>
              <w:t>-0.62%</w:t>
            </w:r>
          </w:p>
        </w:tc>
        <w:tc>
          <w:tcPr>
            <w:tcW w:w="1469" w:type="dxa"/>
            <w:tcBorders>
              <w:top w:val="single" w:sz="4" w:space="0" w:color="000000"/>
              <w:left w:val="single" w:sz="4" w:space="0" w:color="000000"/>
              <w:bottom w:val="single" w:sz="4" w:space="0" w:color="000000"/>
              <w:right w:val="single" w:sz="4" w:space="0" w:color="000000"/>
            </w:tcBorders>
          </w:tcPr>
          <w:p w:rsidR="00992272" w:rsidRDefault="00992272">
            <w:pPr>
              <w:ind w:right="66"/>
              <w:jc w:val="center"/>
              <w:rPr>
                <w:b/>
                <w:color w:val="002060"/>
              </w:rPr>
            </w:pPr>
            <w:r>
              <w:rPr>
                <w:b/>
                <w:color w:val="002060"/>
              </w:rPr>
              <w:t>+4.53%</w:t>
            </w:r>
          </w:p>
        </w:tc>
        <w:tc>
          <w:tcPr>
            <w:tcW w:w="1181" w:type="dxa"/>
            <w:tcBorders>
              <w:top w:val="single" w:sz="4" w:space="0" w:color="000000"/>
              <w:left w:val="single" w:sz="4" w:space="0" w:color="000000"/>
              <w:bottom w:val="single" w:sz="4" w:space="0" w:color="000000"/>
              <w:right w:val="single" w:sz="4" w:space="0" w:color="000000"/>
            </w:tcBorders>
          </w:tcPr>
          <w:p w:rsidR="00992272" w:rsidRDefault="00992272">
            <w:pPr>
              <w:ind w:left="43"/>
              <w:rPr>
                <w:b/>
                <w:color w:val="002060"/>
              </w:rPr>
            </w:pPr>
            <w:r>
              <w:rPr>
                <w:b/>
                <w:color w:val="002060"/>
              </w:rPr>
              <w:t>+226.20%</w:t>
            </w:r>
          </w:p>
        </w:tc>
        <w:tc>
          <w:tcPr>
            <w:tcW w:w="1047" w:type="dxa"/>
            <w:tcBorders>
              <w:top w:val="single" w:sz="4" w:space="0" w:color="000000"/>
              <w:left w:val="single" w:sz="4" w:space="0" w:color="000000"/>
              <w:bottom w:val="single" w:sz="4" w:space="0" w:color="000000"/>
              <w:right w:val="single" w:sz="4" w:space="0" w:color="000000"/>
            </w:tcBorders>
          </w:tcPr>
          <w:p w:rsidR="00992272" w:rsidRDefault="00992272">
            <w:pPr>
              <w:ind w:left="89"/>
              <w:rPr>
                <w:b/>
                <w:color w:val="002060"/>
              </w:rPr>
            </w:pPr>
            <w:r>
              <w:rPr>
                <w:b/>
                <w:color w:val="002060"/>
              </w:rPr>
              <w:t>+1.93%</w:t>
            </w:r>
          </w:p>
        </w:tc>
        <w:tc>
          <w:tcPr>
            <w:tcW w:w="1466" w:type="dxa"/>
            <w:tcBorders>
              <w:top w:val="single" w:sz="4" w:space="0" w:color="000000"/>
              <w:left w:val="single" w:sz="4" w:space="0" w:color="000000"/>
              <w:bottom w:val="single" w:sz="4" w:space="0" w:color="000000"/>
              <w:right w:val="single" w:sz="4" w:space="0" w:color="000000"/>
            </w:tcBorders>
          </w:tcPr>
          <w:p w:rsidR="00992272" w:rsidRDefault="00992272">
            <w:pPr>
              <w:ind w:right="69"/>
              <w:jc w:val="center"/>
              <w:rPr>
                <w:b/>
                <w:color w:val="002060"/>
              </w:rPr>
            </w:pPr>
            <w:r>
              <w:rPr>
                <w:b/>
                <w:color w:val="002060"/>
              </w:rPr>
              <w:t>+10.34%</w:t>
            </w:r>
          </w:p>
        </w:tc>
        <w:tc>
          <w:tcPr>
            <w:tcW w:w="1143" w:type="dxa"/>
            <w:tcBorders>
              <w:top w:val="single" w:sz="4" w:space="0" w:color="000000"/>
              <w:left w:val="single" w:sz="4" w:space="0" w:color="000000"/>
              <w:bottom w:val="single" w:sz="4" w:space="0" w:color="000000"/>
              <w:right w:val="single" w:sz="4" w:space="0" w:color="000000"/>
            </w:tcBorders>
          </w:tcPr>
          <w:p w:rsidR="00992272" w:rsidRDefault="00992272">
            <w:pPr>
              <w:ind w:left="70"/>
              <w:rPr>
                <w:b/>
                <w:color w:val="002060"/>
              </w:rPr>
            </w:pPr>
            <w:r>
              <w:rPr>
                <w:b/>
                <w:color w:val="002060"/>
              </w:rPr>
              <w:t>+107.36%</w:t>
            </w:r>
          </w:p>
        </w:tc>
      </w:tr>
      <w:tr w:rsidR="00992272">
        <w:trPr>
          <w:trHeight w:val="679"/>
        </w:trPr>
        <w:tc>
          <w:tcPr>
            <w:tcW w:w="1229" w:type="dxa"/>
            <w:tcBorders>
              <w:top w:val="single" w:sz="4" w:space="0" w:color="000000"/>
              <w:left w:val="single" w:sz="4" w:space="0" w:color="000000"/>
              <w:bottom w:val="single" w:sz="4" w:space="0" w:color="000000"/>
              <w:right w:val="single" w:sz="4" w:space="0" w:color="000000"/>
            </w:tcBorders>
          </w:tcPr>
          <w:p w:rsidR="00992272" w:rsidRDefault="00992272">
            <w:pPr>
              <w:rPr>
                <w:b/>
                <w:color w:val="002060"/>
              </w:rPr>
            </w:pPr>
            <w:r>
              <w:rPr>
                <w:b/>
                <w:color w:val="002060"/>
              </w:rPr>
              <w:t>Aug 2017</w:t>
            </w:r>
          </w:p>
        </w:tc>
        <w:tc>
          <w:tcPr>
            <w:tcW w:w="994" w:type="dxa"/>
            <w:tcBorders>
              <w:top w:val="single" w:sz="4" w:space="0" w:color="000000"/>
              <w:left w:val="single" w:sz="4" w:space="0" w:color="000000"/>
              <w:bottom w:val="single" w:sz="4" w:space="0" w:color="000000"/>
              <w:right w:val="single" w:sz="4" w:space="0" w:color="000000"/>
            </w:tcBorders>
          </w:tcPr>
          <w:p w:rsidR="00992272" w:rsidRDefault="00992272">
            <w:pPr>
              <w:ind w:left="82"/>
              <w:rPr>
                <w:b/>
                <w:color w:val="002060"/>
              </w:rPr>
            </w:pPr>
            <w:r>
              <w:rPr>
                <w:b/>
                <w:color w:val="002060"/>
              </w:rPr>
              <w:t>+1.17%</w:t>
            </w:r>
          </w:p>
        </w:tc>
        <w:tc>
          <w:tcPr>
            <w:tcW w:w="1469" w:type="dxa"/>
            <w:tcBorders>
              <w:top w:val="single" w:sz="4" w:space="0" w:color="000000"/>
              <w:left w:val="single" w:sz="4" w:space="0" w:color="000000"/>
              <w:bottom w:val="single" w:sz="4" w:space="0" w:color="000000"/>
              <w:right w:val="single" w:sz="4" w:space="0" w:color="000000"/>
            </w:tcBorders>
          </w:tcPr>
          <w:p w:rsidR="00992272" w:rsidRDefault="00992272">
            <w:pPr>
              <w:ind w:right="66"/>
              <w:jc w:val="center"/>
              <w:rPr>
                <w:b/>
                <w:color w:val="002060"/>
              </w:rPr>
            </w:pPr>
            <w:r>
              <w:rPr>
                <w:b/>
                <w:color w:val="002060"/>
              </w:rPr>
              <w:t>+5.75%</w:t>
            </w:r>
          </w:p>
        </w:tc>
        <w:tc>
          <w:tcPr>
            <w:tcW w:w="1181" w:type="dxa"/>
            <w:tcBorders>
              <w:top w:val="single" w:sz="4" w:space="0" w:color="000000"/>
              <w:left w:val="single" w:sz="4" w:space="0" w:color="000000"/>
              <w:bottom w:val="single" w:sz="4" w:space="0" w:color="000000"/>
              <w:right w:val="single" w:sz="4" w:space="0" w:color="000000"/>
            </w:tcBorders>
          </w:tcPr>
          <w:p w:rsidR="00992272" w:rsidRDefault="00992272">
            <w:pPr>
              <w:ind w:left="43"/>
              <w:rPr>
                <w:b/>
                <w:color w:val="002060"/>
              </w:rPr>
            </w:pPr>
            <w:r>
              <w:rPr>
                <w:b/>
                <w:color w:val="002060"/>
              </w:rPr>
              <w:t>+230.02%</w:t>
            </w:r>
          </w:p>
        </w:tc>
        <w:tc>
          <w:tcPr>
            <w:tcW w:w="1047" w:type="dxa"/>
            <w:tcBorders>
              <w:top w:val="single" w:sz="4" w:space="0" w:color="000000"/>
              <w:left w:val="single" w:sz="4" w:space="0" w:color="000000"/>
              <w:bottom w:val="single" w:sz="4" w:space="0" w:color="000000"/>
              <w:right w:val="single" w:sz="4" w:space="0" w:color="000000"/>
            </w:tcBorders>
          </w:tcPr>
          <w:p w:rsidR="00992272" w:rsidRDefault="00992272">
            <w:pPr>
              <w:ind w:left="89"/>
              <w:rPr>
                <w:b/>
                <w:color w:val="002060"/>
              </w:rPr>
            </w:pPr>
            <w:r>
              <w:rPr>
                <w:b/>
                <w:color w:val="002060"/>
              </w:rPr>
              <w:t>+0.05%</w:t>
            </w:r>
          </w:p>
        </w:tc>
        <w:tc>
          <w:tcPr>
            <w:tcW w:w="1466" w:type="dxa"/>
            <w:tcBorders>
              <w:top w:val="single" w:sz="4" w:space="0" w:color="000000"/>
              <w:left w:val="single" w:sz="4" w:space="0" w:color="000000"/>
              <w:bottom w:val="single" w:sz="4" w:space="0" w:color="000000"/>
              <w:right w:val="single" w:sz="4" w:space="0" w:color="000000"/>
            </w:tcBorders>
          </w:tcPr>
          <w:p w:rsidR="00992272" w:rsidRDefault="00992272">
            <w:pPr>
              <w:ind w:right="69"/>
              <w:jc w:val="center"/>
              <w:rPr>
                <w:b/>
                <w:color w:val="002060"/>
              </w:rPr>
            </w:pPr>
            <w:r>
              <w:rPr>
                <w:b/>
                <w:color w:val="002060"/>
              </w:rPr>
              <w:t>+10.40%</w:t>
            </w:r>
          </w:p>
        </w:tc>
        <w:tc>
          <w:tcPr>
            <w:tcW w:w="1143" w:type="dxa"/>
            <w:tcBorders>
              <w:top w:val="single" w:sz="4" w:space="0" w:color="000000"/>
              <w:left w:val="single" w:sz="4" w:space="0" w:color="000000"/>
              <w:bottom w:val="single" w:sz="4" w:space="0" w:color="000000"/>
              <w:right w:val="single" w:sz="4" w:space="0" w:color="000000"/>
            </w:tcBorders>
          </w:tcPr>
          <w:p w:rsidR="00992272" w:rsidRDefault="00992272">
            <w:pPr>
              <w:ind w:left="70"/>
              <w:rPr>
                <w:b/>
                <w:color w:val="002060"/>
              </w:rPr>
            </w:pPr>
            <w:r>
              <w:rPr>
                <w:b/>
                <w:color w:val="002060"/>
              </w:rPr>
              <w:t>+107.47%</w:t>
            </w:r>
          </w:p>
        </w:tc>
      </w:tr>
    </w:tbl>
    <w:p w:rsidR="008B3CFD" w:rsidRDefault="00532F44">
      <w:pPr>
        <w:spacing w:after="0"/>
        <w:ind w:left="29"/>
      </w:pPr>
      <w:r>
        <w:rPr>
          <w:color w:val="002060"/>
          <w:sz w:val="24"/>
        </w:rPr>
        <w:t xml:space="preserve"> </w:t>
      </w:r>
      <w:r>
        <w:t xml:space="preserve">  </w:t>
      </w:r>
    </w:p>
    <w:p w:rsidR="00157864" w:rsidRDefault="00532F44" w:rsidP="00157864">
      <w:pPr>
        <w:spacing w:after="216"/>
        <w:ind w:left="29"/>
        <w:rPr>
          <w:color w:val="002060"/>
          <w:sz w:val="24"/>
        </w:rPr>
      </w:pPr>
      <w:r>
        <w:rPr>
          <w:color w:val="002060"/>
          <w:sz w:val="24"/>
        </w:rPr>
        <w:t xml:space="preserve"> </w:t>
      </w:r>
    </w:p>
    <w:p w:rsidR="00157864" w:rsidRDefault="00157864" w:rsidP="00157864">
      <w:pPr>
        <w:spacing w:after="216"/>
        <w:ind w:left="29"/>
        <w:rPr>
          <w:color w:val="002060"/>
          <w:sz w:val="24"/>
        </w:rPr>
      </w:pPr>
    </w:p>
    <w:p w:rsidR="000D7DB7" w:rsidRDefault="00992272" w:rsidP="00992272">
      <w:pPr>
        <w:spacing w:after="216"/>
        <w:ind w:left="29"/>
        <w:rPr>
          <w:color w:val="002060"/>
          <w:sz w:val="24"/>
        </w:rPr>
      </w:pPr>
      <w:r>
        <w:rPr>
          <w:color w:val="002060"/>
          <w:sz w:val="24"/>
        </w:rPr>
        <w:t>In August</w:t>
      </w:r>
      <w:r w:rsidR="000D7DB7">
        <w:rPr>
          <w:color w:val="002060"/>
          <w:sz w:val="24"/>
        </w:rPr>
        <w:t xml:space="preserve">, the </w:t>
      </w:r>
      <w:r>
        <w:rPr>
          <w:color w:val="002060"/>
          <w:sz w:val="24"/>
        </w:rPr>
        <w:t>Fund</w:t>
      </w:r>
      <w:r w:rsidR="000D7DB7">
        <w:rPr>
          <w:color w:val="002060"/>
          <w:sz w:val="24"/>
        </w:rPr>
        <w:t xml:space="preserve"> rose </w:t>
      </w:r>
      <w:r>
        <w:rPr>
          <w:color w:val="002060"/>
          <w:sz w:val="24"/>
        </w:rPr>
        <w:t>by 1.17</w:t>
      </w:r>
      <w:r w:rsidR="00157864">
        <w:rPr>
          <w:color w:val="002060"/>
          <w:sz w:val="24"/>
        </w:rPr>
        <w:t xml:space="preserve">% and the </w:t>
      </w:r>
      <w:r>
        <w:rPr>
          <w:color w:val="002060"/>
          <w:sz w:val="24"/>
        </w:rPr>
        <w:t>S&amp;P500</w:t>
      </w:r>
      <w:r w:rsidR="00157864">
        <w:rPr>
          <w:color w:val="002060"/>
          <w:sz w:val="24"/>
        </w:rPr>
        <w:t xml:space="preserve"> </w:t>
      </w:r>
      <w:r>
        <w:rPr>
          <w:color w:val="002060"/>
          <w:sz w:val="24"/>
        </w:rPr>
        <w:t>was virtually unchanged at +0.05%.  The market went down to a low on August 21</w:t>
      </w:r>
      <w:r w:rsidRPr="00992272">
        <w:rPr>
          <w:color w:val="002060"/>
          <w:sz w:val="24"/>
          <w:vertAlign w:val="superscript"/>
        </w:rPr>
        <w:t>st</w:t>
      </w:r>
      <w:r>
        <w:rPr>
          <w:color w:val="002060"/>
          <w:sz w:val="24"/>
        </w:rPr>
        <w:t xml:space="preserve"> and then rallied into month-end despite the North Korean missile test on the 26</w:t>
      </w:r>
      <w:r w:rsidRPr="00992272">
        <w:rPr>
          <w:color w:val="002060"/>
          <w:sz w:val="24"/>
          <w:vertAlign w:val="superscript"/>
        </w:rPr>
        <w:t>th</w:t>
      </w:r>
      <w:r>
        <w:rPr>
          <w:color w:val="002060"/>
          <w:sz w:val="24"/>
        </w:rPr>
        <w:t>.  All</w:t>
      </w:r>
      <w:r w:rsidR="000D1053">
        <w:rPr>
          <w:color w:val="002060"/>
          <w:sz w:val="24"/>
        </w:rPr>
        <w:t xml:space="preserve"> the</w:t>
      </w:r>
      <w:r>
        <w:rPr>
          <w:color w:val="002060"/>
          <w:sz w:val="24"/>
        </w:rPr>
        <w:t xml:space="preserve"> smaller stock indices fell in the region of 2%.</w:t>
      </w:r>
    </w:p>
    <w:p w:rsidR="00992272" w:rsidRDefault="00992272" w:rsidP="00992272">
      <w:pPr>
        <w:spacing w:after="216"/>
        <w:ind w:left="29"/>
        <w:rPr>
          <w:color w:val="002060"/>
          <w:sz w:val="24"/>
        </w:rPr>
      </w:pPr>
      <w:r>
        <w:rPr>
          <w:color w:val="002060"/>
          <w:sz w:val="24"/>
        </w:rPr>
        <w:t xml:space="preserve">Our banks continue to disappoint as a group and their weighting is now down to 46% from a high of 54% at the beginning of the year, mainly due to their own poor action.  Our outperformance against smaller indices was based </w:t>
      </w:r>
      <w:r w:rsidR="000D1053">
        <w:rPr>
          <w:color w:val="002060"/>
          <w:sz w:val="24"/>
        </w:rPr>
        <w:t xml:space="preserve">not only </w:t>
      </w:r>
      <w:r>
        <w:rPr>
          <w:color w:val="002060"/>
          <w:sz w:val="24"/>
        </w:rPr>
        <w:t>on our low volatility but also on a few strong stocks.</w:t>
      </w:r>
    </w:p>
    <w:p w:rsidR="00992272" w:rsidRDefault="00995F81" w:rsidP="00992272">
      <w:pPr>
        <w:spacing w:after="216"/>
        <w:ind w:left="29"/>
        <w:rPr>
          <w:color w:val="002060"/>
          <w:sz w:val="24"/>
        </w:rPr>
      </w:pPr>
      <w:r>
        <w:rPr>
          <w:color w:val="002060"/>
          <w:sz w:val="24"/>
        </w:rPr>
        <w:t>FS Bancorp, which I frequently go on about, went through $50, and is now 8% of the portfolio. Johnson Outdoors, a 3% holding, surged as they sold more fish-finders</w:t>
      </w:r>
      <w:r w:rsidR="000D1053">
        <w:rPr>
          <w:color w:val="002060"/>
          <w:sz w:val="24"/>
        </w:rPr>
        <w:t>.  W</w:t>
      </w:r>
      <w:r>
        <w:rPr>
          <w:color w:val="002060"/>
          <w:sz w:val="24"/>
        </w:rPr>
        <w:t xml:space="preserve">e have held them for years for their canoes, culture and </w:t>
      </w:r>
      <w:r w:rsidR="000D1053">
        <w:rPr>
          <w:color w:val="002060"/>
          <w:sz w:val="24"/>
        </w:rPr>
        <w:t xml:space="preserve">a </w:t>
      </w:r>
      <w:r>
        <w:rPr>
          <w:color w:val="002060"/>
          <w:sz w:val="24"/>
        </w:rPr>
        <w:t xml:space="preserve">play on millennials. </w:t>
      </w:r>
      <w:proofErr w:type="spellStart"/>
      <w:r>
        <w:rPr>
          <w:color w:val="002060"/>
          <w:sz w:val="24"/>
        </w:rPr>
        <w:t>Manitex</w:t>
      </w:r>
      <w:proofErr w:type="spellEnd"/>
      <w:r>
        <w:rPr>
          <w:color w:val="002060"/>
          <w:sz w:val="24"/>
        </w:rPr>
        <w:t xml:space="preserve">, the cranes, </w:t>
      </w:r>
      <w:r w:rsidR="000D1053">
        <w:rPr>
          <w:color w:val="002060"/>
          <w:sz w:val="24"/>
        </w:rPr>
        <w:t>rose</w:t>
      </w:r>
      <w:r w:rsidR="000D1053">
        <w:rPr>
          <w:color w:val="002060"/>
          <w:sz w:val="24"/>
        </w:rPr>
        <w:t>,</w:t>
      </w:r>
      <w:r w:rsidR="000D1053">
        <w:rPr>
          <w:color w:val="002060"/>
          <w:sz w:val="24"/>
        </w:rPr>
        <w:t xml:space="preserve"> </w:t>
      </w:r>
      <w:r>
        <w:rPr>
          <w:color w:val="002060"/>
          <w:sz w:val="24"/>
        </w:rPr>
        <w:t xml:space="preserve">possibly on Hurricane Harvey, although it is anyway improving.  There may be some luck here but then we do tend to be lucky.  </w:t>
      </w:r>
    </w:p>
    <w:p w:rsidR="00995F81" w:rsidRDefault="00995F81" w:rsidP="00992272">
      <w:pPr>
        <w:spacing w:after="216"/>
        <w:ind w:left="29"/>
        <w:rPr>
          <w:color w:val="002060"/>
          <w:sz w:val="24"/>
        </w:rPr>
      </w:pPr>
    </w:p>
    <w:p w:rsidR="000D1053" w:rsidRDefault="00995F81" w:rsidP="00992272">
      <w:pPr>
        <w:spacing w:after="216"/>
        <w:ind w:left="29"/>
        <w:rPr>
          <w:color w:val="002060"/>
          <w:sz w:val="24"/>
        </w:rPr>
      </w:pPr>
      <w:r>
        <w:rPr>
          <w:color w:val="002060"/>
          <w:sz w:val="24"/>
        </w:rPr>
        <w:t>These are interesting times.  Missiles are less uns</w:t>
      </w:r>
      <w:r w:rsidR="000D1053">
        <w:rPr>
          <w:color w:val="002060"/>
          <w:sz w:val="24"/>
        </w:rPr>
        <w:t>ettling for the market, momentum</w:t>
      </w:r>
      <w:r>
        <w:rPr>
          <w:color w:val="002060"/>
          <w:sz w:val="24"/>
        </w:rPr>
        <w:t>-based hedge funds are under-performing, yet large tech surges again after interest rates are set low at Jackson Hole.  As momentum is generally failing we are in a period of mean reversion, which informs us to do nothing with the weak banks – they’re due a bounce. The portfolio is too much in the wrong place to surge, but won’</w:t>
      </w:r>
      <w:r w:rsidR="000D1053">
        <w:rPr>
          <w:color w:val="002060"/>
          <w:sz w:val="24"/>
        </w:rPr>
        <w:t>t go down: o</w:t>
      </w:r>
      <w:r>
        <w:rPr>
          <w:color w:val="002060"/>
          <w:sz w:val="24"/>
        </w:rPr>
        <w:t>ur under-performance against the S&amp;P500 in 2017 was put in</w:t>
      </w:r>
      <w:r w:rsidR="000D1053">
        <w:rPr>
          <w:color w:val="002060"/>
          <w:sz w:val="24"/>
        </w:rPr>
        <w:t xml:space="preserve"> by February</w:t>
      </w:r>
      <w:r w:rsidR="00154417">
        <w:rPr>
          <w:color w:val="002060"/>
          <w:sz w:val="24"/>
        </w:rPr>
        <w:t>.</w:t>
      </w:r>
    </w:p>
    <w:p w:rsidR="000D1053" w:rsidRDefault="000D1053" w:rsidP="00992272">
      <w:pPr>
        <w:spacing w:after="216"/>
        <w:ind w:left="29"/>
        <w:rPr>
          <w:b/>
          <w:color w:val="002060"/>
          <w:sz w:val="24"/>
        </w:rPr>
      </w:pPr>
      <w:bookmarkStart w:id="0" w:name="_GoBack"/>
      <w:bookmarkEnd w:id="0"/>
    </w:p>
    <w:p w:rsidR="00995F81" w:rsidRDefault="00995F81" w:rsidP="00992272">
      <w:pPr>
        <w:spacing w:after="216"/>
        <w:ind w:left="29"/>
        <w:rPr>
          <w:color w:val="002060"/>
          <w:sz w:val="24"/>
        </w:rPr>
      </w:pPr>
      <w:r>
        <w:rPr>
          <w:b/>
          <w:color w:val="002060"/>
          <w:sz w:val="24"/>
        </w:rPr>
        <w:t xml:space="preserve"> </w:t>
      </w:r>
      <w:r>
        <w:rPr>
          <w:color w:val="002060"/>
          <w:sz w:val="24"/>
        </w:rPr>
        <w:t>Our biggest holding has become Paragon Bank as we have completed our switch from Towne Bank. This is expected to revert to Towne Bank as their merger completes at year-end and we win 20 basis point</w:t>
      </w:r>
      <w:r w:rsidR="00756CE8">
        <w:rPr>
          <w:color w:val="002060"/>
          <w:sz w:val="24"/>
        </w:rPr>
        <w:t>s</w:t>
      </w:r>
      <w:r>
        <w:rPr>
          <w:color w:val="002060"/>
          <w:sz w:val="24"/>
        </w:rPr>
        <w:t xml:space="preserve"> in arbitrage.  We also muck about with our holdings.  For instance, Encore Wire is back in at lower levels after recent bad earnings. But fooling around with stocks in a trading range is not as good as getting an up-trend and holding it.</w:t>
      </w:r>
    </w:p>
    <w:p w:rsidR="000D1053" w:rsidRDefault="000D1053" w:rsidP="00992272">
      <w:pPr>
        <w:spacing w:after="216"/>
        <w:ind w:left="29"/>
        <w:rPr>
          <w:color w:val="002060"/>
          <w:sz w:val="24"/>
        </w:rPr>
      </w:pPr>
    </w:p>
    <w:p w:rsidR="000D1053" w:rsidRPr="00995F81" w:rsidRDefault="000D1053" w:rsidP="00992272">
      <w:pPr>
        <w:spacing w:after="216"/>
        <w:ind w:left="29"/>
        <w:rPr>
          <w:b/>
          <w:color w:val="002060"/>
          <w:sz w:val="24"/>
        </w:rPr>
      </w:pPr>
      <w:r>
        <w:rPr>
          <w:color w:val="002060"/>
          <w:sz w:val="24"/>
        </w:rPr>
        <w:t>The reflation trade has washed out and we’ve been punished earlier in the year. There will be no change in strategy, even though the tech leaders are making new highs.</w:t>
      </w:r>
    </w:p>
    <w:p w:rsidR="00992272" w:rsidRDefault="00992272" w:rsidP="00992272">
      <w:pPr>
        <w:spacing w:after="216"/>
        <w:ind w:left="29"/>
        <w:rPr>
          <w:color w:val="002060"/>
          <w:sz w:val="24"/>
        </w:rPr>
      </w:pPr>
    </w:p>
    <w:p w:rsidR="000D7DB7" w:rsidRDefault="000D7DB7" w:rsidP="000D7DB7">
      <w:pPr>
        <w:spacing w:after="218" w:line="263" w:lineRule="auto"/>
        <w:ind w:left="19" w:right="-1" w:hanging="20"/>
        <w:rPr>
          <w:color w:val="002060"/>
          <w:sz w:val="24"/>
        </w:rPr>
      </w:pPr>
    </w:p>
    <w:p w:rsidR="000D7DB7" w:rsidRDefault="000D7DB7" w:rsidP="000D7DB7">
      <w:pPr>
        <w:spacing w:after="218" w:line="263" w:lineRule="auto"/>
        <w:ind w:left="19" w:right="-1" w:hanging="20"/>
        <w:rPr>
          <w:color w:val="002060"/>
          <w:sz w:val="24"/>
        </w:rPr>
      </w:pPr>
    </w:p>
    <w:p w:rsidR="000D7DB7" w:rsidRDefault="000D7DB7" w:rsidP="000D7DB7">
      <w:pPr>
        <w:spacing w:after="218" w:line="263" w:lineRule="auto"/>
        <w:ind w:left="19" w:right="-1" w:hanging="20"/>
      </w:pPr>
    </w:p>
    <w:p w:rsidR="008B3CFD" w:rsidRDefault="00532F44">
      <w:pPr>
        <w:spacing w:after="85" w:line="216" w:lineRule="auto"/>
        <w:ind w:left="-5" w:hanging="10"/>
      </w:pPr>
      <w:r>
        <w:rPr>
          <w:rFonts w:ascii="Arial" w:eastAsia="Arial" w:hAnsi="Arial" w:cs="Arial"/>
          <w:b/>
          <w:sz w:val="16"/>
        </w:rPr>
        <w:t xml:space="preserve">Risk Warnings and Other </w:t>
      </w:r>
      <w:proofErr w:type="gramStart"/>
      <w:r>
        <w:rPr>
          <w:rFonts w:ascii="Arial" w:eastAsia="Arial" w:hAnsi="Arial" w:cs="Arial"/>
          <w:b/>
          <w:sz w:val="16"/>
        </w:rPr>
        <w:t>Important Information</w:t>
      </w:r>
      <w:proofErr w:type="gramEnd"/>
      <w:r>
        <w:rPr>
          <w:rFonts w:ascii="Times New Roman" w:eastAsia="Times New Roman" w:hAnsi="Times New Roman" w:cs="Times New Roman"/>
          <w:sz w:val="16"/>
        </w:rPr>
        <w:t xml:space="preserve"> </w:t>
      </w:r>
      <w:r>
        <w:t xml:space="preserve">  </w:t>
      </w:r>
    </w:p>
    <w:p w:rsidR="008B3CFD" w:rsidRDefault="00532F44">
      <w:pPr>
        <w:spacing w:after="23" w:line="225" w:lineRule="auto"/>
        <w:ind w:left="5" w:hanging="10"/>
      </w:pPr>
      <w:r>
        <w:rPr>
          <w:rFonts w:ascii="Arial" w:eastAsia="Arial" w:hAnsi="Arial" w:cs="Arial"/>
          <w:sz w:val="16"/>
        </w:rPr>
        <w:t xml:space="preserve">This document is issued by De Lisle Partners LLP, registered in England </w:t>
      </w:r>
      <w:proofErr w:type="gramStart"/>
      <w:r>
        <w:rPr>
          <w:rFonts w:ascii="Arial" w:eastAsia="Arial" w:hAnsi="Arial" w:cs="Arial"/>
          <w:sz w:val="16"/>
        </w:rPr>
        <w:t>No.OC</w:t>
      </w:r>
      <w:proofErr w:type="gramEnd"/>
      <w:r>
        <w:rPr>
          <w:rFonts w:ascii="Arial" w:eastAsia="Arial" w:hAnsi="Arial" w:cs="Arial"/>
          <w:sz w:val="16"/>
        </w:rPr>
        <w:t xml:space="preserve">310994, authorized and regulated by the </w:t>
      </w:r>
      <w:r>
        <w:t xml:space="preserve"> </w:t>
      </w:r>
    </w:p>
    <w:p w:rsidR="008B3CFD" w:rsidRDefault="00532F44">
      <w:pPr>
        <w:spacing w:after="217" w:line="225" w:lineRule="auto"/>
        <w:ind w:left="5" w:hanging="10"/>
      </w:pPr>
      <w:r>
        <w:rPr>
          <w:rFonts w:ascii="Arial" w:eastAsia="Arial" w:hAnsi="Arial" w:cs="Arial"/>
          <w:sz w:val="16"/>
        </w:rPr>
        <w:t xml:space="preserve">Financial Conduct Authority. The registered office of </w:t>
      </w:r>
      <w:proofErr w:type="spellStart"/>
      <w:r>
        <w:rPr>
          <w:rFonts w:ascii="Arial" w:eastAsia="Arial" w:hAnsi="Arial" w:cs="Arial"/>
          <w:sz w:val="16"/>
        </w:rPr>
        <w:t>Valu-Trac</w:t>
      </w:r>
      <w:proofErr w:type="spellEnd"/>
      <w:r>
        <w:rPr>
          <w:rFonts w:ascii="Arial" w:eastAsia="Arial" w:hAnsi="Arial" w:cs="Arial"/>
          <w:sz w:val="16"/>
        </w:rPr>
        <w:t xml:space="preserve"> Investment Management Ltd is Suite 150-153, 2nd Floor Temple Chambers, Temple Avenue, London, EC4Y 0DA, Head Office at Mains of Orton, Orton, </w:t>
      </w:r>
      <w:proofErr w:type="spellStart"/>
      <w:r>
        <w:rPr>
          <w:rFonts w:ascii="Arial" w:eastAsia="Arial" w:hAnsi="Arial" w:cs="Arial"/>
          <w:sz w:val="16"/>
        </w:rPr>
        <w:t>Fochabers</w:t>
      </w:r>
      <w:proofErr w:type="spellEnd"/>
      <w:r>
        <w:rPr>
          <w:rFonts w:ascii="Arial" w:eastAsia="Arial" w:hAnsi="Arial" w:cs="Arial"/>
          <w:sz w:val="16"/>
        </w:rPr>
        <w:t xml:space="preserve">, Moray, Scotland IV32 7QE. </w:t>
      </w:r>
      <w:r>
        <w:t xml:space="preserve">  </w:t>
      </w:r>
    </w:p>
    <w:p w:rsidR="008B3CFD" w:rsidRDefault="00532F44">
      <w:pPr>
        <w:spacing w:after="152" w:line="225"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rsidR="008B3CFD" w:rsidRDefault="00532F44">
      <w:pPr>
        <w:spacing w:after="152" w:line="225"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preparation, but is subject to change. For professional use only.  </w:t>
      </w:r>
      <w:r>
        <w:t xml:space="preserve">  </w:t>
      </w:r>
    </w:p>
    <w:p w:rsidR="008B3CFD" w:rsidRDefault="00532F44">
      <w:pPr>
        <w:spacing w:after="85" w:line="216" w:lineRule="auto"/>
        <w:ind w:left="-5" w:hanging="10"/>
      </w:pPr>
      <w:r>
        <w:rPr>
          <w:rFonts w:ascii="Arial" w:eastAsia="Arial" w:hAnsi="Arial" w:cs="Arial"/>
          <w:b/>
          <w:sz w:val="16"/>
        </w:rPr>
        <w:t xml:space="preserve">The value of an investment and the income from it can fall as well as rise </w:t>
      </w:r>
      <w:proofErr w:type="gramStart"/>
      <w:r>
        <w:rPr>
          <w:rFonts w:ascii="Arial" w:eastAsia="Arial" w:hAnsi="Arial" w:cs="Arial"/>
          <w:b/>
          <w:sz w:val="16"/>
        </w:rPr>
        <w:t>as a result of</w:t>
      </w:r>
      <w:proofErr w:type="gramEnd"/>
      <w:r>
        <w:rPr>
          <w:rFonts w:ascii="Arial" w:eastAsia="Arial" w:hAnsi="Arial" w:cs="Arial"/>
          <w:b/>
          <w:sz w:val="16"/>
        </w:rPr>
        <w:t xml:space="preserve">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8B3CFD">
      <w:pgSz w:w="11906" w:h="16838"/>
      <w:pgMar w:top="1538" w:right="1501" w:bottom="190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FD"/>
    <w:rsid w:val="000D1053"/>
    <w:rsid w:val="000D7DB7"/>
    <w:rsid w:val="00154417"/>
    <w:rsid w:val="00157864"/>
    <w:rsid w:val="00517F96"/>
    <w:rsid w:val="00532F44"/>
    <w:rsid w:val="00681494"/>
    <w:rsid w:val="00756CE8"/>
    <w:rsid w:val="00785710"/>
    <w:rsid w:val="008B3CFD"/>
    <w:rsid w:val="00992272"/>
    <w:rsid w:val="0099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D1BA"/>
  <w15:docId w15:val="{2E8D474B-41EF-40BA-BBF0-5458DB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 Lisle</cp:lastModifiedBy>
  <cp:revision>3</cp:revision>
  <cp:lastPrinted>2017-09-02T19:17:00Z</cp:lastPrinted>
  <dcterms:created xsi:type="dcterms:W3CDTF">2017-09-02T19:15:00Z</dcterms:created>
  <dcterms:modified xsi:type="dcterms:W3CDTF">2017-09-02T19:19:00Z</dcterms:modified>
</cp:coreProperties>
</file>