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FD" w:rsidRDefault="000D3EE3">
      <w:pPr>
        <w:spacing w:after="0"/>
        <w:ind w:left="4069"/>
      </w:pPr>
      <w:r>
        <w:rPr>
          <w:b/>
          <w:color w:val="002060"/>
          <w:sz w:val="24"/>
        </w:rPr>
        <w:t>Octo</w:t>
      </w:r>
      <w:r w:rsidR="00842C67">
        <w:rPr>
          <w:b/>
          <w:color w:val="002060"/>
          <w:sz w:val="24"/>
        </w:rPr>
        <w:t>ber</w:t>
      </w:r>
      <w:r w:rsidR="00532F44">
        <w:rPr>
          <w:b/>
          <w:color w:val="002060"/>
          <w:sz w:val="24"/>
        </w:rPr>
        <w:t xml:space="preserve"> 2017 </w:t>
      </w:r>
      <w:r w:rsidR="00532F44">
        <w:t xml:space="preserve">  </w:t>
      </w:r>
    </w:p>
    <w:p w:rsidR="008B3CFD" w:rsidRDefault="00532F44">
      <w:pPr>
        <w:spacing w:after="0"/>
        <w:ind w:left="177"/>
        <w:jc w:val="center"/>
      </w:pPr>
      <w:r>
        <w:t xml:space="preserve"> </w:t>
      </w:r>
    </w:p>
    <w:tbl>
      <w:tblPr>
        <w:tblStyle w:val="TableGrid"/>
        <w:tblW w:w="8529" w:type="dxa"/>
        <w:tblInd w:w="43" w:type="dxa"/>
        <w:tblCellMar>
          <w:top w:w="139" w:type="dxa"/>
          <w:left w:w="108" w:type="dxa"/>
          <w:right w:w="24" w:type="dxa"/>
        </w:tblCellMar>
        <w:tblLook w:val="04A0" w:firstRow="1" w:lastRow="0" w:firstColumn="1" w:lastColumn="0" w:noHBand="0" w:noVBand="1"/>
      </w:tblPr>
      <w:tblGrid>
        <w:gridCol w:w="1229"/>
        <w:gridCol w:w="994"/>
        <w:gridCol w:w="1469"/>
        <w:gridCol w:w="1181"/>
        <w:gridCol w:w="1047"/>
        <w:gridCol w:w="1466"/>
        <w:gridCol w:w="1143"/>
      </w:tblGrid>
      <w:tr w:rsidR="008B3CFD">
        <w:trPr>
          <w:trHeight w:val="98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pPr>
              <w:ind w:left="38"/>
            </w:pPr>
            <w:r>
              <w:rPr>
                <w:b/>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113"/>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89"/>
              <w:jc w:val="center"/>
            </w:pPr>
            <w:r>
              <w:rPr>
                <w:b/>
                <w:color w:val="002060"/>
              </w:rPr>
              <w:t>Fund</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113"/>
              <w:jc w:val="center"/>
            </w:pP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41"/>
              <w:jc w:val="center"/>
            </w:pPr>
            <w:r>
              <w:rPr>
                <w:b/>
                <w:color w:val="002060"/>
              </w:rPr>
              <w:t>S&amp;P500</w:t>
            </w:r>
            <w:r>
              <w:t xml:space="preserve"> </w:t>
            </w:r>
          </w:p>
          <w:p w:rsidR="008B3CFD" w:rsidRDefault="00532F44">
            <w:pPr>
              <w:ind w:right="40"/>
              <w:jc w:val="center"/>
            </w:pPr>
            <w:r>
              <w:rPr>
                <w:b/>
                <w:color w:val="002060"/>
              </w:rPr>
              <w:t>Index</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113"/>
              <w:jc w:val="center"/>
            </w:pPr>
            <w:r>
              <w:t xml:space="preserve">  </w:t>
            </w:r>
          </w:p>
        </w:tc>
      </w:tr>
      <w:tr w:rsidR="008B3CFD">
        <w:trPr>
          <w:trHeight w:val="98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pPr>
              <w:ind w:left="38"/>
            </w:pPr>
            <w:r>
              <w:rPr>
                <w:i/>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i/>
                <w:color w:val="002060"/>
              </w:rPr>
              <w:t>Performance</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jc w:val="center"/>
            </w:pPr>
            <w:r>
              <w:rPr>
                <w:i/>
                <w:color w:val="002060"/>
              </w:rPr>
              <w:t>Inception to Date</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118"/>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left="79"/>
            </w:pPr>
            <w:r>
              <w:rPr>
                <w:i/>
                <w:color w:val="002060"/>
              </w:rPr>
              <w:t>Performance</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jc w:val="center"/>
            </w:pPr>
            <w:r>
              <w:rPr>
                <w:i/>
                <w:color w:val="002060"/>
              </w:rPr>
              <w:t>Inception to Date</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2005</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+14.01%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+14.01%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+4.78%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2"/>
              <w:jc w:val="center"/>
            </w:pPr>
            <w:r>
              <w:rPr>
                <w:b/>
                <w:color w:val="002060"/>
              </w:rPr>
              <w:t>+4.78%</w:t>
            </w:r>
            <w:r>
              <w:t xml:space="preserve">  </w:t>
            </w:r>
          </w:p>
        </w:tc>
      </w:tr>
      <w:tr w:rsidR="008B3CFD">
        <w:trPr>
          <w:trHeight w:val="675"/>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2006</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+16.91%</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+33.29%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+13.62%</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+19.05%</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2007</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1"/>
              <w:jc w:val="center"/>
            </w:pPr>
            <w:r>
              <w:rPr>
                <w:b/>
                <w:color w:val="002060"/>
              </w:rPr>
              <w:t>+4.06%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+38.70%</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+3.53%</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+23.25%</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2008</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-47.99%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9"/>
              <w:jc w:val="center"/>
            </w:pPr>
            <w:r>
              <w:rPr>
                <w:b/>
                <w:color w:val="002060"/>
              </w:rPr>
              <w:t>-27.86%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-38.49%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5"/>
              <w:jc w:val="center"/>
            </w:pPr>
            <w:r>
              <w:rPr>
                <w:b/>
                <w:color w:val="002060"/>
              </w:rPr>
              <w:t>-24.18%</w:t>
            </w:r>
            <w:r>
              <w:t xml:space="preserve">  </w:t>
            </w:r>
          </w:p>
        </w:tc>
      </w:tr>
      <w:tr w:rsidR="008B3CFD">
        <w:trPr>
          <w:trHeight w:val="67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2009</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+42.74%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2"/>
              <w:jc w:val="center"/>
            </w:pPr>
            <w:r>
              <w:rPr>
                <w:b/>
                <w:color w:val="002060"/>
              </w:rPr>
              <w:t>+2.97%</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+23.45%</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5"/>
              <w:jc w:val="center"/>
            </w:pPr>
            <w:r>
              <w:rPr>
                <w:b/>
                <w:color w:val="002060"/>
              </w:rPr>
              <w:t>-6.40%</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2010</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+24.94%</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+28.65%</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+12.78%</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2"/>
              <w:jc w:val="center"/>
            </w:pPr>
            <w:r>
              <w:rPr>
                <w:b/>
                <w:color w:val="002060"/>
              </w:rPr>
              <w:t>+5.57%</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2011</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1"/>
              <w:jc w:val="center"/>
            </w:pPr>
            <w:r>
              <w:rPr>
                <w:b/>
                <w:color w:val="002060"/>
              </w:rPr>
              <w:t>+1.79%</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+30.96%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7"/>
              <w:jc w:val="center"/>
            </w:pPr>
            <w:r>
              <w:rPr>
                <w:b/>
                <w:color w:val="002060"/>
              </w:rPr>
              <w:t>0.00%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72"/>
              <w:jc w:val="center"/>
            </w:pPr>
            <w:r>
              <w:rPr>
                <w:b/>
                <w:color w:val="002060"/>
              </w:rPr>
              <w:t>+5.56%</w:t>
            </w:r>
            <w:r>
              <w:t xml:space="preserve">  </w:t>
            </w:r>
          </w:p>
        </w:tc>
      </w:tr>
      <w:tr w:rsidR="008B3CFD">
        <w:trPr>
          <w:trHeight w:val="67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2012</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+24.17%</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+62.61%</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+13.41%</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+19.71%</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2013</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+42.96%</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+132.46%</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+29.60%</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+55.15%</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2014</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1"/>
              <w:jc w:val="center"/>
            </w:pPr>
            <w:r>
              <w:rPr>
                <w:b/>
                <w:color w:val="002060"/>
              </w:rPr>
              <w:t>+3.92%</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+141.59%</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1"/>
              <w:jc w:val="center"/>
            </w:pPr>
            <w:r>
              <w:rPr>
                <w:b/>
                <w:color w:val="002060"/>
              </w:rPr>
              <w:t>+11.39%</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+72.82%</w:t>
            </w:r>
            <w:r>
              <w:t xml:space="preserve">  </w:t>
            </w:r>
          </w:p>
        </w:tc>
      </w:tr>
      <w:tr w:rsidR="008B3CFD">
        <w:trPr>
          <w:trHeight w:val="674"/>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2015</w:t>
            </w:r>
            <w:r>
              <w:rPr>
                <w:color w:val="002060"/>
              </w:rPr>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4"/>
              <w:jc w:val="center"/>
            </w:pPr>
            <w:r>
              <w:rPr>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-2.10%</w:t>
            </w:r>
            <w:r>
              <w:rPr>
                <w:color w:val="002060"/>
              </w:rPr>
              <w:t xml:space="preserve">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+136.51%</w:t>
            </w:r>
            <w:r>
              <w:rPr>
                <w:color w:val="002060"/>
              </w:rPr>
              <w:t xml:space="preserve">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5"/>
              <w:jc w:val="center"/>
            </w:pPr>
            <w:r>
              <w:rPr>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7"/>
              <w:jc w:val="center"/>
            </w:pPr>
            <w:r>
              <w:rPr>
                <w:b/>
                <w:color w:val="002060"/>
              </w:rPr>
              <w:t>-0.73%</w:t>
            </w:r>
            <w:r>
              <w:rPr>
                <w:color w:val="002060"/>
              </w:rPr>
              <w:t xml:space="preserve">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+71.56%</w:t>
            </w:r>
            <w:r>
              <w:rPr>
                <w:color w:val="002060"/>
              </w:rPr>
              <w:t xml:space="preserve"> </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pPr>
              <w:ind w:left="38"/>
            </w:pPr>
            <w:r>
              <w:rPr>
                <w:b/>
                <w:color w:val="002060"/>
              </w:rPr>
              <w:t xml:space="preserve">2016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70"/>
              <w:jc w:val="center"/>
            </w:pPr>
            <w:r>
              <w:rPr>
                <w:b/>
                <w:color w:val="002060"/>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83"/>
              <w:jc w:val="center"/>
            </w:pPr>
            <w:r>
              <w:rPr>
                <w:b/>
                <w:color w:val="002060"/>
              </w:rPr>
              <w:t xml:space="preserve">+31.95%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62"/>
            </w:pPr>
            <w:r>
              <w:rPr>
                <w:b/>
                <w:color w:val="002060"/>
              </w:rPr>
              <w:t xml:space="preserve">+212.07%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70"/>
              <w:jc w:val="center"/>
            </w:pPr>
            <w:r>
              <w:rPr>
                <w:b/>
                <w:color w:val="002060"/>
              </w:rPr>
              <w:t xml:space="preserve">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8"/>
              <w:jc w:val="center"/>
            </w:pPr>
            <w:r>
              <w:rPr>
                <w:b/>
                <w:color w:val="002060"/>
              </w:rPr>
              <w:t xml:space="preserve">+9.54%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142"/>
              <w:jc w:val="right"/>
            </w:pPr>
            <w:r>
              <w:rPr>
                <w:b/>
                <w:color w:val="002060"/>
              </w:rPr>
              <w:t xml:space="preserve">+87.93% </w:t>
            </w:r>
            <w:r>
              <w:t xml:space="preserve"> </w:t>
            </w:r>
          </w:p>
        </w:tc>
      </w:tr>
      <w:tr w:rsidR="008B3CFD">
        <w:trPr>
          <w:trHeight w:val="679"/>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pPr>
              <w:ind w:left="38"/>
            </w:pPr>
            <w:r>
              <w:rPr>
                <w:i/>
                <w:color w:val="002060"/>
              </w:rPr>
              <w:lastRenderedPageBreak/>
              <w:t xml:space="preserve">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right="80"/>
              <w:jc w:val="center"/>
            </w:pPr>
            <w:r>
              <w:rPr>
                <w:i/>
                <w:color w:val="002060"/>
              </w:rPr>
              <w:t xml:space="preserve">MTD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87"/>
              <w:jc w:val="center"/>
            </w:pPr>
            <w:r>
              <w:rPr>
                <w:i/>
                <w:color w:val="002060"/>
              </w:rPr>
              <w:t xml:space="preserve">YTD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right="39"/>
              <w:jc w:val="center"/>
            </w:pPr>
            <w:r>
              <w:rPr>
                <w:i/>
                <w:color w:val="002060"/>
              </w:rPr>
              <w:t xml:space="preserve">ITD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right="85"/>
              <w:jc w:val="center"/>
            </w:pPr>
            <w:r>
              <w:rPr>
                <w:i/>
                <w:color w:val="002060"/>
              </w:rPr>
              <w:t xml:space="preserve">MTD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85"/>
              <w:jc w:val="center"/>
            </w:pPr>
            <w:r>
              <w:rPr>
                <w:i/>
                <w:color w:val="002060"/>
              </w:rPr>
              <w:t xml:space="preserve">YTD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right="40"/>
              <w:jc w:val="center"/>
            </w:pPr>
            <w:r>
              <w:rPr>
                <w:i/>
                <w:color w:val="002060"/>
              </w:rPr>
              <w:t xml:space="preserve">ITD </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Jan 2017 </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right="156"/>
              <w:jc w:val="right"/>
            </w:pPr>
            <w:r>
              <w:rPr>
                <w:b/>
                <w:color w:val="002060"/>
              </w:rPr>
              <w:t xml:space="preserve">-1.42%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-1.42% </w:t>
            </w: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+207.46% </w:t>
            </w:r>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right="161"/>
              <w:jc w:val="right"/>
            </w:pPr>
            <w:r>
              <w:rPr>
                <w:b/>
                <w:color w:val="002060"/>
              </w:rPr>
              <w:t xml:space="preserve">+1.79% </w:t>
            </w:r>
            <w:r>
              <w:t xml:space="preserve">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+1.79% </w:t>
            </w:r>
            <w:r>
              <w:t xml:space="preserve">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+91.29% </w:t>
            </w:r>
            <w:r>
              <w:t xml:space="preserve">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Feb 2017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b/>
                <w:color w:val="002060"/>
              </w:rPr>
              <w:t xml:space="preserve">+1.63%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1"/>
              <w:jc w:val="center"/>
            </w:pPr>
            <w:r>
              <w:rPr>
                <w:b/>
                <w:color w:val="002060"/>
              </w:rPr>
              <w:t xml:space="preserve">+0.13%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+212.48%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89"/>
            </w:pPr>
            <w:r>
              <w:rPr>
                <w:b/>
                <w:color w:val="002060"/>
              </w:rPr>
              <w:t xml:space="preserve">+3.72%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+5.57%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+98.40%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Mar 2017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b/>
                <w:color w:val="002060"/>
              </w:rPr>
              <w:t xml:space="preserve">-0.67%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-0.54%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+210.38%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right="113"/>
              <w:jc w:val="center"/>
            </w:pPr>
            <w:r>
              <w:rPr>
                <w:b/>
                <w:color w:val="002060"/>
              </w:rPr>
              <w:t xml:space="preserve">-0.04%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74"/>
              <w:jc w:val="center"/>
            </w:pPr>
            <w:r>
              <w:rPr>
                <w:b/>
                <w:color w:val="002060"/>
              </w:rPr>
              <w:t xml:space="preserve">+5.53%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+98.33% </w:t>
            </w:r>
          </w:p>
        </w:tc>
      </w:tr>
      <w:tr w:rsidR="008B3CFD">
        <w:trPr>
          <w:trHeight w:val="677"/>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Apr 2017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b/>
                <w:color w:val="002060"/>
              </w:rPr>
              <w:t xml:space="preserve">+2.09%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66"/>
              <w:jc w:val="center"/>
            </w:pPr>
            <w:r>
              <w:rPr>
                <w:b/>
                <w:color w:val="002060"/>
              </w:rPr>
              <w:t xml:space="preserve">+1.53%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+216.85%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89"/>
            </w:pPr>
            <w:r>
              <w:rPr>
                <w:b/>
                <w:color w:val="002060"/>
              </w:rPr>
              <w:t xml:space="preserve">+0.91%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69"/>
              <w:jc w:val="center"/>
            </w:pPr>
            <w:r>
              <w:rPr>
                <w:b/>
                <w:color w:val="002060"/>
              </w:rPr>
              <w:t xml:space="preserve">+6.49%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+100.13% </w:t>
            </w:r>
          </w:p>
        </w:tc>
      </w:tr>
      <w:tr w:rsidR="008B3CFD">
        <w:trPr>
          <w:trHeight w:val="679"/>
        </w:trPr>
        <w:tc>
          <w:tcPr>
            <w:tcW w:w="1229" w:type="dxa"/>
            <w:tcBorders>
              <w:top w:val="single" w:sz="4" w:space="0" w:color="000000"/>
              <w:left w:val="single" w:sz="4" w:space="0" w:color="000000"/>
              <w:bottom w:val="single" w:sz="4" w:space="0" w:color="000000"/>
              <w:right w:val="single" w:sz="4" w:space="0" w:color="000000"/>
            </w:tcBorders>
          </w:tcPr>
          <w:p w:rsidR="008B3CFD" w:rsidRDefault="00532F44">
            <w:r>
              <w:rPr>
                <w:b/>
                <w:color w:val="002060"/>
              </w:rPr>
              <w:t xml:space="preserve">May 2017 </w:t>
            </w:r>
          </w:p>
        </w:tc>
        <w:tc>
          <w:tcPr>
            <w:tcW w:w="994" w:type="dxa"/>
            <w:tcBorders>
              <w:top w:val="single" w:sz="4" w:space="0" w:color="000000"/>
              <w:left w:val="single" w:sz="4" w:space="0" w:color="000000"/>
              <w:bottom w:val="single" w:sz="4" w:space="0" w:color="000000"/>
              <w:right w:val="single" w:sz="4" w:space="0" w:color="000000"/>
            </w:tcBorders>
          </w:tcPr>
          <w:p w:rsidR="008B3CFD" w:rsidRDefault="00532F44">
            <w:pPr>
              <w:ind w:left="82"/>
            </w:pPr>
            <w:r>
              <w:rPr>
                <w:b/>
                <w:color w:val="002060"/>
              </w:rPr>
              <w:t xml:space="preserve">-1.16% </w:t>
            </w:r>
          </w:p>
        </w:tc>
        <w:tc>
          <w:tcPr>
            <w:tcW w:w="1469" w:type="dxa"/>
            <w:tcBorders>
              <w:top w:val="single" w:sz="4" w:space="0" w:color="000000"/>
              <w:left w:val="single" w:sz="4" w:space="0" w:color="000000"/>
              <w:bottom w:val="single" w:sz="4" w:space="0" w:color="000000"/>
              <w:right w:val="single" w:sz="4" w:space="0" w:color="000000"/>
            </w:tcBorders>
          </w:tcPr>
          <w:p w:rsidR="008B3CFD" w:rsidRDefault="00532F44">
            <w:pPr>
              <w:ind w:right="66"/>
              <w:jc w:val="center"/>
            </w:pPr>
            <w:r>
              <w:rPr>
                <w:b/>
                <w:color w:val="002060"/>
              </w:rPr>
              <w:t xml:space="preserve">+0.35% </w:t>
            </w:r>
          </w:p>
        </w:tc>
        <w:tc>
          <w:tcPr>
            <w:tcW w:w="1181" w:type="dxa"/>
            <w:tcBorders>
              <w:top w:val="single" w:sz="4" w:space="0" w:color="000000"/>
              <w:left w:val="single" w:sz="4" w:space="0" w:color="000000"/>
              <w:bottom w:val="single" w:sz="4" w:space="0" w:color="000000"/>
              <w:right w:val="single" w:sz="4" w:space="0" w:color="000000"/>
            </w:tcBorders>
          </w:tcPr>
          <w:p w:rsidR="008B3CFD" w:rsidRDefault="00532F44">
            <w:pPr>
              <w:ind w:left="43"/>
            </w:pPr>
            <w:r>
              <w:rPr>
                <w:b/>
                <w:color w:val="002060"/>
              </w:rPr>
              <w:t xml:space="preserve">+213.16% </w:t>
            </w:r>
          </w:p>
        </w:tc>
        <w:tc>
          <w:tcPr>
            <w:tcW w:w="1047" w:type="dxa"/>
            <w:tcBorders>
              <w:top w:val="single" w:sz="4" w:space="0" w:color="000000"/>
              <w:left w:val="single" w:sz="4" w:space="0" w:color="000000"/>
              <w:bottom w:val="single" w:sz="4" w:space="0" w:color="000000"/>
              <w:right w:val="single" w:sz="4" w:space="0" w:color="000000"/>
            </w:tcBorders>
          </w:tcPr>
          <w:p w:rsidR="008B3CFD" w:rsidRDefault="00532F44">
            <w:pPr>
              <w:ind w:left="89"/>
            </w:pPr>
            <w:r>
              <w:rPr>
                <w:b/>
                <w:color w:val="002060"/>
              </w:rPr>
              <w:t xml:space="preserve">+1.16% </w:t>
            </w:r>
          </w:p>
        </w:tc>
        <w:tc>
          <w:tcPr>
            <w:tcW w:w="1466" w:type="dxa"/>
            <w:tcBorders>
              <w:top w:val="single" w:sz="4" w:space="0" w:color="000000"/>
              <w:left w:val="single" w:sz="4" w:space="0" w:color="000000"/>
              <w:bottom w:val="single" w:sz="4" w:space="0" w:color="000000"/>
              <w:right w:val="single" w:sz="4" w:space="0" w:color="000000"/>
            </w:tcBorders>
          </w:tcPr>
          <w:p w:rsidR="008B3CFD" w:rsidRDefault="00532F44">
            <w:pPr>
              <w:ind w:right="69"/>
              <w:jc w:val="center"/>
            </w:pPr>
            <w:r>
              <w:rPr>
                <w:b/>
                <w:color w:val="002060"/>
              </w:rPr>
              <w:t xml:space="preserve">+7.73% </w:t>
            </w:r>
          </w:p>
        </w:tc>
        <w:tc>
          <w:tcPr>
            <w:tcW w:w="1143" w:type="dxa"/>
            <w:tcBorders>
              <w:top w:val="single" w:sz="4" w:space="0" w:color="000000"/>
              <w:left w:val="single" w:sz="4" w:space="0" w:color="000000"/>
              <w:bottom w:val="single" w:sz="4" w:space="0" w:color="000000"/>
              <w:right w:val="single" w:sz="4" w:space="0" w:color="000000"/>
            </w:tcBorders>
          </w:tcPr>
          <w:p w:rsidR="008B3CFD" w:rsidRDefault="00532F44">
            <w:pPr>
              <w:ind w:left="70"/>
            </w:pPr>
            <w:r>
              <w:rPr>
                <w:b/>
                <w:color w:val="002060"/>
              </w:rPr>
              <w:t xml:space="preserve">+102.45% </w:t>
            </w:r>
          </w:p>
        </w:tc>
      </w:tr>
      <w:tr w:rsidR="000D7DB7">
        <w:trPr>
          <w:trHeight w:val="679"/>
        </w:trPr>
        <w:tc>
          <w:tcPr>
            <w:tcW w:w="1229" w:type="dxa"/>
            <w:tcBorders>
              <w:top w:val="single" w:sz="4" w:space="0" w:color="000000"/>
              <w:left w:val="single" w:sz="4" w:space="0" w:color="000000"/>
              <w:bottom w:val="single" w:sz="4" w:space="0" w:color="000000"/>
              <w:right w:val="single" w:sz="4" w:space="0" w:color="000000"/>
            </w:tcBorders>
          </w:tcPr>
          <w:p w:rsidR="000D7DB7" w:rsidRDefault="000D7DB7">
            <w:pPr>
              <w:rPr>
                <w:b/>
                <w:color w:val="002060"/>
              </w:rPr>
            </w:pPr>
            <w:r>
              <w:rPr>
                <w:b/>
                <w:color w:val="002060"/>
              </w:rPr>
              <w:t>Jun 2017</w:t>
            </w:r>
          </w:p>
        </w:tc>
        <w:tc>
          <w:tcPr>
            <w:tcW w:w="994" w:type="dxa"/>
            <w:tcBorders>
              <w:top w:val="single" w:sz="4" w:space="0" w:color="000000"/>
              <w:left w:val="single" w:sz="4" w:space="0" w:color="000000"/>
              <w:bottom w:val="single" w:sz="4" w:space="0" w:color="000000"/>
              <w:right w:val="single" w:sz="4" w:space="0" w:color="000000"/>
            </w:tcBorders>
          </w:tcPr>
          <w:p w:rsidR="000D7DB7" w:rsidRDefault="00157864">
            <w:pPr>
              <w:ind w:left="82"/>
              <w:rPr>
                <w:b/>
                <w:color w:val="002060"/>
              </w:rPr>
            </w:pPr>
            <w:r>
              <w:rPr>
                <w:b/>
                <w:color w:val="002060"/>
              </w:rPr>
              <w:t>+4.81%</w:t>
            </w:r>
          </w:p>
        </w:tc>
        <w:tc>
          <w:tcPr>
            <w:tcW w:w="1469" w:type="dxa"/>
            <w:tcBorders>
              <w:top w:val="single" w:sz="4" w:space="0" w:color="000000"/>
              <w:left w:val="single" w:sz="4" w:space="0" w:color="000000"/>
              <w:bottom w:val="single" w:sz="4" w:space="0" w:color="000000"/>
              <w:right w:val="single" w:sz="4" w:space="0" w:color="000000"/>
            </w:tcBorders>
          </w:tcPr>
          <w:p w:rsidR="000D7DB7" w:rsidRDefault="00157864">
            <w:pPr>
              <w:ind w:right="66"/>
              <w:jc w:val="center"/>
              <w:rPr>
                <w:b/>
                <w:color w:val="002060"/>
              </w:rPr>
            </w:pPr>
            <w:r>
              <w:rPr>
                <w:b/>
                <w:color w:val="002060"/>
              </w:rPr>
              <w:t>+5.18%</w:t>
            </w:r>
          </w:p>
        </w:tc>
        <w:tc>
          <w:tcPr>
            <w:tcW w:w="1181" w:type="dxa"/>
            <w:tcBorders>
              <w:top w:val="single" w:sz="4" w:space="0" w:color="000000"/>
              <w:left w:val="single" w:sz="4" w:space="0" w:color="000000"/>
              <w:bottom w:val="single" w:sz="4" w:space="0" w:color="000000"/>
              <w:right w:val="single" w:sz="4" w:space="0" w:color="000000"/>
            </w:tcBorders>
          </w:tcPr>
          <w:p w:rsidR="000D7DB7" w:rsidRDefault="00157864">
            <w:pPr>
              <w:ind w:left="43"/>
              <w:rPr>
                <w:b/>
                <w:color w:val="002060"/>
              </w:rPr>
            </w:pPr>
            <w:r>
              <w:rPr>
                <w:b/>
                <w:color w:val="002060"/>
              </w:rPr>
              <w:t>+228.24%</w:t>
            </w:r>
          </w:p>
        </w:tc>
        <w:tc>
          <w:tcPr>
            <w:tcW w:w="1047" w:type="dxa"/>
            <w:tcBorders>
              <w:top w:val="single" w:sz="4" w:space="0" w:color="000000"/>
              <w:left w:val="single" w:sz="4" w:space="0" w:color="000000"/>
              <w:bottom w:val="single" w:sz="4" w:space="0" w:color="000000"/>
              <w:right w:val="single" w:sz="4" w:space="0" w:color="000000"/>
            </w:tcBorders>
          </w:tcPr>
          <w:p w:rsidR="000D7DB7" w:rsidRDefault="000D7DB7">
            <w:pPr>
              <w:ind w:left="89"/>
              <w:rPr>
                <w:b/>
                <w:color w:val="002060"/>
              </w:rPr>
            </w:pPr>
            <w:r>
              <w:rPr>
                <w:b/>
                <w:color w:val="002060"/>
              </w:rPr>
              <w:t>+0.48%</w:t>
            </w:r>
          </w:p>
        </w:tc>
        <w:tc>
          <w:tcPr>
            <w:tcW w:w="1466" w:type="dxa"/>
            <w:tcBorders>
              <w:top w:val="single" w:sz="4" w:space="0" w:color="000000"/>
              <w:left w:val="single" w:sz="4" w:space="0" w:color="000000"/>
              <w:bottom w:val="single" w:sz="4" w:space="0" w:color="000000"/>
              <w:right w:val="single" w:sz="4" w:space="0" w:color="000000"/>
            </w:tcBorders>
          </w:tcPr>
          <w:p w:rsidR="000D7DB7" w:rsidRDefault="000D7DB7">
            <w:pPr>
              <w:ind w:right="69"/>
              <w:jc w:val="center"/>
              <w:rPr>
                <w:b/>
                <w:color w:val="002060"/>
              </w:rPr>
            </w:pPr>
            <w:r>
              <w:rPr>
                <w:b/>
                <w:color w:val="002060"/>
              </w:rPr>
              <w:t>+8.24%</w:t>
            </w:r>
          </w:p>
        </w:tc>
        <w:tc>
          <w:tcPr>
            <w:tcW w:w="1143" w:type="dxa"/>
            <w:tcBorders>
              <w:top w:val="single" w:sz="4" w:space="0" w:color="000000"/>
              <w:left w:val="single" w:sz="4" w:space="0" w:color="000000"/>
              <w:bottom w:val="single" w:sz="4" w:space="0" w:color="000000"/>
              <w:right w:val="single" w:sz="4" w:space="0" w:color="000000"/>
            </w:tcBorders>
          </w:tcPr>
          <w:p w:rsidR="000D7DB7" w:rsidRDefault="000D7DB7">
            <w:pPr>
              <w:ind w:left="70"/>
              <w:rPr>
                <w:b/>
                <w:color w:val="002060"/>
              </w:rPr>
            </w:pPr>
            <w:r>
              <w:rPr>
                <w:b/>
                <w:color w:val="002060"/>
              </w:rPr>
              <w:t>+103.42%</w:t>
            </w:r>
          </w:p>
        </w:tc>
      </w:tr>
      <w:tr w:rsidR="00992272">
        <w:trPr>
          <w:trHeight w:val="679"/>
        </w:trPr>
        <w:tc>
          <w:tcPr>
            <w:tcW w:w="1229" w:type="dxa"/>
            <w:tcBorders>
              <w:top w:val="single" w:sz="4" w:space="0" w:color="000000"/>
              <w:left w:val="single" w:sz="4" w:space="0" w:color="000000"/>
              <w:bottom w:val="single" w:sz="4" w:space="0" w:color="000000"/>
              <w:right w:val="single" w:sz="4" w:space="0" w:color="000000"/>
            </w:tcBorders>
          </w:tcPr>
          <w:p w:rsidR="00992272" w:rsidRDefault="00992272">
            <w:pPr>
              <w:rPr>
                <w:b/>
                <w:color w:val="002060"/>
              </w:rPr>
            </w:pPr>
            <w:r>
              <w:rPr>
                <w:b/>
                <w:color w:val="002060"/>
              </w:rPr>
              <w:t>July 2017</w:t>
            </w:r>
          </w:p>
        </w:tc>
        <w:tc>
          <w:tcPr>
            <w:tcW w:w="994" w:type="dxa"/>
            <w:tcBorders>
              <w:top w:val="single" w:sz="4" w:space="0" w:color="000000"/>
              <w:left w:val="single" w:sz="4" w:space="0" w:color="000000"/>
              <w:bottom w:val="single" w:sz="4" w:space="0" w:color="000000"/>
              <w:right w:val="single" w:sz="4" w:space="0" w:color="000000"/>
            </w:tcBorders>
          </w:tcPr>
          <w:p w:rsidR="00992272" w:rsidRDefault="00992272">
            <w:pPr>
              <w:ind w:left="82"/>
              <w:rPr>
                <w:b/>
                <w:color w:val="002060"/>
              </w:rPr>
            </w:pPr>
            <w:r>
              <w:rPr>
                <w:b/>
                <w:color w:val="002060"/>
              </w:rPr>
              <w:t>-0.62%</w:t>
            </w:r>
          </w:p>
        </w:tc>
        <w:tc>
          <w:tcPr>
            <w:tcW w:w="1469" w:type="dxa"/>
            <w:tcBorders>
              <w:top w:val="single" w:sz="4" w:space="0" w:color="000000"/>
              <w:left w:val="single" w:sz="4" w:space="0" w:color="000000"/>
              <w:bottom w:val="single" w:sz="4" w:space="0" w:color="000000"/>
              <w:right w:val="single" w:sz="4" w:space="0" w:color="000000"/>
            </w:tcBorders>
          </w:tcPr>
          <w:p w:rsidR="00992272" w:rsidRDefault="00992272">
            <w:pPr>
              <w:ind w:right="66"/>
              <w:jc w:val="center"/>
              <w:rPr>
                <w:b/>
                <w:color w:val="002060"/>
              </w:rPr>
            </w:pPr>
            <w:r>
              <w:rPr>
                <w:b/>
                <w:color w:val="002060"/>
              </w:rPr>
              <w:t>+4.53%</w:t>
            </w:r>
          </w:p>
        </w:tc>
        <w:tc>
          <w:tcPr>
            <w:tcW w:w="1181" w:type="dxa"/>
            <w:tcBorders>
              <w:top w:val="single" w:sz="4" w:space="0" w:color="000000"/>
              <w:left w:val="single" w:sz="4" w:space="0" w:color="000000"/>
              <w:bottom w:val="single" w:sz="4" w:space="0" w:color="000000"/>
              <w:right w:val="single" w:sz="4" w:space="0" w:color="000000"/>
            </w:tcBorders>
          </w:tcPr>
          <w:p w:rsidR="00992272" w:rsidRDefault="00992272">
            <w:pPr>
              <w:ind w:left="43"/>
              <w:rPr>
                <w:b/>
                <w:color w:val="002060"/>
              </w:rPr>
            </w:pPr>
            <w:r>
              <w:rPr>
                <w:b/>
                <w:color w:val="002060"/>
              </w:rPr>
              <w:t>+226.20%</w:t>
            </w:r>
          </w:p>
        </w:tc>
        <w:tc>
          <w:tcPr>
            <w:tcW w:w="1047" w:type="dxa"/>
            <w:tcBorders>
              <w:top w:val="single" w:sz="4" w:space="0" w:color="000000"/>
              <w:left w:val="single" w:sz="4" w:space="0" w:color="000000"/>
              <w:bottom w:val="single" w:sz="4" w:space="0" w:color="000000"/>
              <w:right w:val="single" w:sz="4" w:space="0" w:color="000000"/>
            </w:tcBorders>
          </w:tcPr>
          <w:p w:rsidR="00992272" w:rsidRDefault="00992272">
            <w:pPr>
              <w:ind w:left="89"/>
              <w:rPr>
                <w:b/>
                <w:color w:val="002060"/>
              </w:rPr>
            </w:pPr>
            <w:r>
              <w:rPr>
                <w:b/>
                <w:color w:val="002060"/>
              </w:rPr>
              <w:t>+1.93%</w:t>
            </w:r>
          </w:p>
        </w:tc>
        <w:tc>
          <w:tcPr>
            <w:tcW w:w="1466" w:type="dxa"/>
            <w:tcBorders>
              <w:top w:val="single" w:sz="4" w:space="0" w:color="000000"/>
              <w:left w:val="single" w:sz="4" w:space="0" w:color="000000"/>
              <w:bottom w:val="single" w:sz="4" w:space="0" w:color="000000"/>
              <w:right w:val="single" w:sz="4" w:space="0" w:color="000000"/>
            </w:tcBorders>
          </w:tcPr>
          <w:p w:rsidR="00992272" w:rsidRDefault="00992272">
            <w:pPr>
              <w:ind w:right="69"/>
              <w:jc w:val="center"/>
              <w:rPr>
                <w:b/>
                <w:color w:val="002060"/>
              </w:rPr>
            </w:pPr>
            <w:r>
              <w:rPr>
                <w:b/>
                <w:color w:val="002060"/>
              </w:rPr>
              <w:t>+10.34%</w:t>
            </w:r>
          </w:p>
        </w:tc>
        <w:tc>
          <w:tcPr>
            <w:tcW w:w="1143" w:type="dxa"/>
            <w:tcBorders>
              <w:top w:val="single" w:sz="4" w:space="0" w:color="000000"/>
              <w:left w:val="single" w:sz="4" w:space="0" w:color="000000"/>
              <w:bottom w:val="single" w:sz="4" w:space="0" w:color="000000"/>
              <w:right w:val="single" w:sz="4" w:space="0" w:color="000000"/>
            </w:tcBorders>
          </w:tcPr>
          <w:p w:rsidR="00992272" w:rsidRDefault="00992272">
            <w:pPr>
              <w:ind w:left="70"/>
              <w:rPr>
                <w:b/>
                <w:color w:val="002060"/>
              </w:rPr>
            </w:pPr>
            <w:r>
              <w:rPr>
                <w:b/>
                <w:color w:val="002060"/>
              </w:rPr>
              <w:t>+107.36%</w:t>
            </w:r>
          </w:p>
        </w:tc>
      </w:tr>
      <w:tr w:rsidR="00992272">
        <w:trPr>
          <w:trHeight w:val="679"/>
        </w:trPr>
        <w:tc>
          <w:tcPr>
            <w:tcW w:w="1229" w:type="dxa"/>
            <w:tcBorders>
              <w:top w:val="single" w:sz="4" w:space="0" w:color="000000"/>
              <w:left w:val="single" w:sz="4" w:space="0" w:color="000000"/>
              <w:bottom w:val="single" w:sz="4" w:space="0" w:color="000000"/>
              <w:right w:val="single" w:sz="4" w:space="0" w:color="000000"/>
            </w:tcBorders>
          </w:tcPr>
          <w:p w:rsidR="00992272" w:rsidRDefault="00992272">
            <w:pPr>
              <w:rPr>
                <w:b/>
                <w:color w:val="002060"/>
              </w:rPr>
            </w:pPr>
            <w:r>
              <w:rPr>
                <w:b/>
                <w:color w:val="002060"/>
              </w:rPr>
              <w:t>Aug 2017</w:t>
            </w:r>
          </w:p>
        </w:tc>
        <w:tc>
          <w:tcPr>
            <w:tcW w:w="994" w:type="dxa"/>
            <w:tcBorders>
              <w:top w:val="single" w:sz="4" w:space="0" w:color="000000"/>
              <w:left w:val="single" w:sz="4" w:space="0" w:color="000000"/>
              <w:bottom w:val="single" w:sz="4" w:space="0" w:color="000000"/>
              <w:right w:val="single" w:sz="4" w:space="0" w:color="000000"/>
            </w:tcBorders>
          </w:tcPr>
          <w:p w:rsidR="00992272" w:rsidRDefault="00992272">
            <w:pPr>
              <w:ind w:left="82"/>
              <w:rPr>
                <w:b/>
                <w:color w:val="002060"/>
              </w:rPr>
            </w:pPr>
            <w:r>
              <w:rPr>
                <w:b/>
                <w:color w:val="002060"/>
              </w:rPr>
              <w:t>+1.17%</w:t>
            </w:r>
          </w:p>
        </w:tc>
        <w:tc>
          <w:tcPr>
            <w:tcW w:w="1469" w:type="dxa"/>
            <w:tcBorders>
              <w:top w:val="single" w:sz="4" w:space="0" w:color="000000"/>
              <w:left w:val="single" w:sz="4" w:space="0" w:color="000000"/>
              <w:bottom w:val="single" w:sz="4" w:space="0" w:color="000000"/>
              <w:right w:val="single" w:sz="4" w:space="0" w:color="000000"/>
            </w:tcBorders>
          </w:tcPr>
          <w:p w:rsidR="00992272" w:rsidRDefault="00992272">
            <w:pPr>
              <w:ind w:right="66"/>
              <w:jc w:val="center"/>
              <w:rPr>
                <w:b/>
                <w:color w:val="002060"/>
              </w:rPr>
            </w:pPr>
            <w:r>
              <w:rPr>
                <w:b/>
                <w:color w:val="002060"/>
              </w:rPr>
              <w:t>+5.75%</w:t>
            </w:r>
          </w:p>
        </w:tc>
        <w:tc>
          <w:tcPr>
            <w:tcW w:w="1181" w:type="dxa"/>
            <w:tcBorders>
              <w:top w:val="single" w:sz="4" w:space="0" w:color="000000"/>
              <w:left w:val="single" w:sz="4" w:space="0" w:color="000000"/>
              <w:bottom w:val="single" w:sz="4" w:space="0" w:color="000000"/>
              <w:right w:val="single" w:sz="4" w:space="0" w:color="000000"/>
            </w:tcBorders>
          </w:tcPr>
          <w:p w:rsidR="00992272" w:rsidRDefault="00992272">
            <w:pPr>
              <w:ind w:left="43"/>
              <w:rPr>
                <w:b/>
                <w:color w:val="002060"/>
              </w:rPr>
            </w:pPr>
            <w:r>
              <w:rPr>
                <w:b/>
                <w:color w:val="002060"/>
              </w:rPr>
              <w:t>+230.02%</w:t>
            </w:r>
          </w:p>
        </w:tc>
        <w:tc>
          <w:tcPr>
            <w:tcW w:w="1047" w:type="dxa"/>
            <w:tcBorders>
              <w:top w:val="single" w:sz="4" w:space="0" w:color="000000"/>
              <w:left w:val="single" w:sz="4" w:space="0" w:color="000000"/>
              <w:bottom w:val="single" w:sz="4" w:space="0" w:color="000000"/>
              <w:right w:val="single" w:sz="4" w:space="0" w:color="000000"/>
            </w:tcBorders>
          </w:tcPr>
          <w:p w:rsidR="00992272" w:rsidRDefault="00992272">
            <w:pPr>
              <w:ind w:left="89"/>
              <w:rPr>
                <w:b/>
                <w:color w:val="002060"/>
              </w:rPr>
            </w:pPr>
            <w:r>
              <w:rPr>
                <w:b/>
                <w:color w:val="002060"/>
              </w:rPr>
              <w:t>+0.05%</w:t>
            </w:r>
          </w:p>
        </w:tc>
        <w:tc>
          <w:tcPr>
            <w:tcW w:w="1466" w:type="dxa"/>
            <w:tcBorders>
              <w:top w:val="single" w:sz="4" w:space="0" w:color="000000"/>
              <w:left w:val="single" w:sz="4" w:space="0" w:color="000000"/>
              <w:bottom w:val="single" w:sz="4" w:space="0" w:color="000000"/>
              <w:right w:val="single" w:sz="4" w:space="0" w:color="000000"/>
            </w:tcBorders>
          </w:tcPr>
          <w:p w:rsidR="00992272" w:rsidRDefault="00992272">
            <w:pPr>
              <w:ind w:right="69"/>
              <w:jc w:val="center"/>
              <w:rPr>
                <w:b/>
                <w:color w:val="002060"/>
              </w:rPr>
            </w:pPr>
            <w:r>
              <w:rPr>
                <w:b/>
                <w:color w:val="002060"/>
              </w:rPr>
              <w:t>+10.40%</w:t>
            </w:r>
          </w:p>
        </w:tc>
        <w:tc>
          <w:tcPr>
            <w:tcW w:w="1143" w:type="dxa"/>
            <w:tcBorders>
              <w:top w:val="single" w:sz="4" w:space="0" w:color="000000"/>
              <w:left w:val="single" w:sz="4" w:space="0" w:color="000000"/>
              <w:bottom w:val="single" w:sz="4" w:space="0" w:color="000000"/>
              <w:right w:val="single" w:sz="4" w:space="0" w:color="000000"/>
            </w:tcBorders>
          </w:tcPr>
          <w:p w:rsidR="00992272" w:rsidRDefault="00992272">
            <w:pPr>
              <w:ind w:left="70"/>
              <w:rPr>
                <w:b/>
                <w:color w:val="002060"/>
              </w:rPr>
            </w:pPr>
            <w:r>
              <w:rPr>
                <w:b/>
                <w:color w:val="002060"/>
              </w:rPr>
              <w:t>+107.47%</w:t>
            </w:r>
          </w:p>
        </w:tc>
      </w:tr>
      <w:tr w:rsidR="00225F14">
        <w:trPr>
          <w:trHeight w:val="679"/>
        </w:trPr>
        <w:tc>
          <w:tcPr>
            <w:tcW w:w="1229" w:type="dxa"/>
            <w:tcBorders>
              <w:top w:val="single" w:sz="4" w:space="0" w:color="000000"/>
              <w:left w:val="single" w:sz="4" w:space="0" w:color="000000"/>
              <w:bottom w:val="single" w:sz="4" w:space="0" w:color="000000"/>
              <w:right w:val="single" w:sz="4" w:space="0" w:color="000000"/>
            </w:tcBorders>
          </w:tcPr>
          <w:p w:rsidR="00225F14" w:rsidRDefault="00225F14">
            <w:pPr>
              <w:rPr>
                <w:b/>
                <w:color w:val="002060"/>
              </w:rPr>
            </w:pPr>
            <w:r>
              <w:rPr>
                <w:b/>
                <w:color w:val="002060"/>
              </w:rPr>
              <w:t>Sep 2017</w:t>
            </w:r>
          </w:p>
        </w:tc>
        <w:tc>
          <w:tcPr>
            <w:tcW w:w="994" w:type="dxa"/>
            <w:tcBorders>
              <w:top w:val="single" w:sz="4" w:space="0" w:color="000000"/>
              <w:left w:val="single" w:sz="4" w:space="0" w:color="000000"/>
              <w:bottom w:val="single" w:sz="4" w:space="0" w:color="000000"/>
              <w:right w:val="single" w:sz="4" w:space="0" w:color="000000"/>
            </w:tcBorders>
          </w:tcPr>
          <w:p w:rsidR="00225F14" w:rsidRDefault="00225F14">
            <w:pPr>
              <w:ind w:left="82"/>
              <w:rPr>
                <w:b/>
                <w:color w:val="002060"/>
              </w:rPr>
            </w:pPr>
            <w:r>
              <w:rPr>
                <w:b/>
                <w:color w:val="002060"/>
              </w:rPr>
              <w:t>+7.30%</w:t>
            </w:r>
          </w:p>
        </w:tc>
        <w:tc>
          <w:tcPr>
            <w:tcW w:w="1469" w:type="dxa"/>
            <w:tcBorders>
              <w:top w:val="single" w:sz="4" w:space="0" w:color="000000"/>
              <w:left w:val="single" w:sz="4" w:space="0" w:color="000000"/>
              <w:bottom w:val="single" w:sz="4" w:space="0" w:color="000000"/>
              <w:right w:val="single" w:sz="4" w:space="0" w:color="000000"/>
            </w:tcBorders>
          </w:tcPr>
          <w:p w:rsidR="00225F14" w:rsidRDefault="00225F14">
            <w:pPr>
              <w:ind w:right="66"/>
              <w:jc w:val="center"/>
              <w:rPr>
                <w:b/>
                <w:color w:val="002060"/>
              </w:rPr>
            </w:pPr>
            <w:r>
              <w:rPr>
                <w:b/>
                <w:color w:val="002060"/>
              </w:rPr>
              <w:t>+13.47%</w:t>
            </w:r>
          </w:p>
        </w:tc>
        <w:tc>
          <w:tcPr>
            <w:tcW w:w="1181" w:type="dxa"/>
            <w:tcBorders>
              <w:top w:val="single" w:sz="4" w:space="0" w:color="000000"/>
              <w:left w:val="single" w:sz="4" w:space="0" w:color="000000"/>
              <w:bottom w:val="single" w:sz="4" w:space="0" w:color="000000"/>
              <w:right w:val="single" w:sz="4" w:space="0" w:color="000000"/>
            </w:tcBorders>
          </w:tcPr>
          <w:p w:rsidR="00225F14" w:rsidRDefault="00225F14">
            <w:pPr>
              <w:ind w:left="43"/>
              <w:rPr>
                <w:b/>
                <w:color w:val="002060"/>
              </w:rPr>
            </w:pPr>
            <w:r>
              <w:rPr>
                <w:b/>
                <w:color w:val="002060"/>
              </w:rPr>
              <w:t>+254.09%</w:t>
            </w:r>
          </w:p>
        </w:tc>
        <w:tc>
          <w:tcPr>
            <w:tcW w:w="1047" w:type="dxa"/>
            <w:tcBorders>
              <w:top w:val="single" w:sz="4" w:space="0" w:color="000000"/>
              <w:left w:val="single" w:sz="4" w:space="0" w:color="000000"/>
              <w:bottom w:val="single" w:sz="4" w:space="0" w:color="000000"/>
              <w:right w:val="single" w:sz="4" w:space="0" w:color="000000"/>
            </w:tcBorders>
          </w:tcPr>
          <w:p w:rsidR="00225F14" w:rsidRDefault="00225F14">
            <w:pPr>
              <w:ind w:left="89"/>
              <w:rPr>
                <w:b/>
                <w:color w:val="002060"/>
              </w:rPr>
            </w:pPr>
            <w:r>
              <w:rPr>
                <w:b/>
                <w:color w:val="002060"/>
              </w:rPr>
              <w:t>+1.93%</w:t>
            </w:r>
          </w:p>
        </w:tc>
        <w:tc>
          <w:tcPr>
            <w:tcW w:w="1466" w:type="dxa"/>
            <w:tcBorders>
              <w:top w:val="single" w:sz="4" w:space="0" w:color="000000"/>
              <w:left w:val="single" w:sz="4" w:space="0" w:color="000000"/>
              <w:bottom w:val="single" w:sz="4" w:space="0" w:color="000000"/>
              <w:right w:val="single" w:sz="4" w:space="0" w:color="000000"/>
            </w:tcBorders>
          </w:tcPr>
          <w:p w:rsidR="00225F14" w:rsidRDefault="00225F14">
            <w:pPr>
              <w:ind w:right="69"/>
              <w:jc w:val="center"/>
              <w:rPr>
                <w:b/>
                <w:color w:val="002060"/>
              </w:rPr>
            </w:pPr>
            <w:r>
              <w:rPr>
                <w:b/>
                <w:color w:val="002060"/>
              </w:rPr>
              <w:t>+12.53%</w:t>
            </w:r>
          </w:p>
        </w:tc>
        <w:tc>
          <w:tcPr>
            <w:tcW w:w="1143" w:type="dxa"/>
            <w:tcBorders>
              <w:top w:val="single" w:sz="4" w:space="0" w:color="000000"/>
              <w:left w:val="single" w:sz="4" w:space="0" w:color="000000"/>
              <w:bottom w:val="single" w:sz="4" w:space="0" w:color="000000"/>
              <w:right w:val="single" w:sz="4" w:space="0" w:color="000000"/>
            </w:tcBorders>
          </w:tcPr>
          <w:p w:rsidR="00225F14" w:rsidRDefault="00225F14">
            <w:pPr>
              <w:ind w:left="70"/>
              <w:rPr>
                <w:b/>
                <w:color w:val="002060"/>
              </w:rPr>
            </w:pPr>
            <w:r>
              <w:rPr>
                <w:b/>
                <w:color w:val="002060"/>
              </w:rPr>
              <w:t>+111.47%</w:t>
            </w:r>
          </w:p>
        </w:tc>
      </w:tr>
      <w:tr w:rsidR="000D3EE3">
        <w:trPr>
          <w:trHeight w:val="679"/>
        </w:trPr>
        <w:tc>
          <w:tcPr>
            <w:tcW w:w="1229" w:type="dxa"/>
            <w:tcBorders>
              <w:top w:val="single" w:sz="4" w:space="0" w:color="000000"/>
              <w:left w:val="single" w:sz="4" w:space="0" w:color="000000"/>
              <w:bottom w:val="single" w:sz="4" w:space="0" w:color="000000"/>
              <w:right w:val="single" w:sz="4" w:space="0" w:color="000000"/>
            </w:tcBorders>
          </w:tcPr>
          <w:p w:rsidR="000D3EE3" w:rsidRDefault="000D3EE3">
            <w:pPr>
              <w:rPr>
                <w:b/>
                <w:color w:val="002060"/>
              </w:rPr>
            </w:pPr>
            <w:r>
              <w:rPr>
                <w:b/>
                <w:color w:val="002060"/>
              </w:rPr>
              <w:t>Oct 2017</w:t>
            </w:r>
          </w:p>
        </w:tc>
        <w:tc>
          <w:tcPr>
            <w:tcW w:w="994" w:type="dxa"/>
            <w:tcBorders>
              <w:top w:val="single" w:sz="4" w:space="0" w:color="000000"/>
              <w:left w:val="single" w:sz="4" w:space="0" w:color="000000"/>
              <w:bottom w:val="single" w:sz="4" w:space="0" w:color="000000"/>
              <w:right w:val="single" w:sz="4" w:space="0" w:color="000000"/>
            </w:tcBorders>
          </w:tcPr>
          <w:p w:rsidR="000D3EE3" w:rsidRDefault="000D3EE3">
            <w:pPr>
              <w:ind w:left="82"/>
              <w:rPr>
                <w:b/>
                <w:color w:val="002060"/>
              </w:rPr>
            </w:pPr>
            <w:r>
              <w:rPr>
                <w:b/>
                <w:color w:val="002060"/>
              </w:rPr>
              <w:t>+0.35%</w:t>
            </w:r>
          </w:p>
        </w:tc>
        <w:tc>
          <w:tcPr>
            <w:tcW w:w="1469" w:type="dxa"/>
            <w:tcBorders>
              <w:top w:val="single" w:sz="4" w:space="0" w:color="000000"/>
              <w:left w:val="single" w:sz="4" w:space="0" w:color="000000"/>
              <w:bottom w:val="single" w:sz="4" w:space="0" w:color="000000"/>
              <w:right w:val="single" w:sz="4" w:space="0" w:color="000000"/>
            </w:tcBorders>
          </w:tcPr>
          <w:p w:rsidR="000D3EE3" w:rsidRDefault="000D3EE3">
            <w:pPr>
              <w:ind w:right="66"/>
              <w:jc w:val="center"/>
              <w:rPr>
                <w:b/>
                <w:color w:val="002060"/>
              </w:rPr>
            </w:pPr>
            <w:r>
              <w:rPr>
                <w:b/>
                <w:color w:val="002060"/>
              </w:rPr>
              <w:t>+13.86%</w:t>
            </w:r>
          </w:p>
        </w:tc>
        <w:tc>
          <w:tcPr>
            <w:tcW w:w="1181" w:type="dxa"/>
            <w:tcBorders>
              <w:top w:val="single" w:sz="4" w:space="0" w:color="000000"/>
              <w:left w:val="single" w:sz="4" w:space="0" w:color="000000"/>
              <w:bottom w:val="single" w:sz="4" w:space="0" w:color="000000"/>
              <w:right w:val="single" w:sz="4" w:space="0" w:color="000000"/>
            </w:tcBorders>
          </w:tcPr>
          <w:p w:rsidR="000D3EE3" w:rsidRDefault="000D3EE3">
            <w:pPr>
              <w:ind w:left="43"/>
              <w:rPr>
                <w:b/>
                <w:color w:val="002060"/>
              </w:rPr>
            </w:pPr>
            <w:r>
              <w:rPr>
                <w:b/>
                <w:color w:val="002060"/>
              </w:rPr>
              <w:t>+255.33%</w:t>
            </w:r>
          </w:p>
        </w:tc>
        <w:tc>
          <w:tcPr>
            <w:tcW w:w="1047" w:type="dxa"/>
            <w:tcBorders>
              <w:top w:val="single" w:sz="4" w:space="0" w:color="000000"/>
              <w:left w:val="single" w:sz="4" w:space="0" w:color="000000"/>
              <w:bottom w:val="single" w:sz="4" w:space="0" w:color="000000"/>
              <w:right w:val="single" w:sz="4" w:space="0" w:color="000000"/>
            </w:tcBorders>
          </w:tcPr>
          <w:p w:rsidR="000D3EE3" w:rsidRDefault="000D3EE3">
            <w:pPr>
              <w:ind w:left="89"/>
              <w:rPr>
                <w:b/>
                <w:color w:val="002060"/>
              </w:rPr>
            </w:pPr>
            <w:r>
              <w:rPr>
                <w:b/>
                <w:color w:val="002060"/>
              </w:rPr>
              <w:t>+2.22%</w:t>
            </w:r>
          </w:p>
        </w:tc>
        <w:tc>
          <w:tcPr>
            <w:tcW w:w="1466" w:type="dxa"/>
            <w:tcBorders>
              <w:top w:val="single" w:sz="4" w:space="0" w:color="000000"/>
              <w:left w:val="single" w:sz="4" w:space="0" w:color="000000"/>
              <w:bottom w:val="single" w:sz="4" w:space="0" w:color="000000"/>
              <w:right w:val="single" w:sz="4" w:space="0" w:color="000000"/>
            </w:tcBorders>
          </w:tcPr>
          <w:p w:rsidR="000D3EE3" w:rsidRDefault="000D3EE3">
            <w:pPr>
              <w:ind w:right="69"/>
              <w:jc w:val="center"/>
              <w:rPr>
                <w:b/>
                <w:color w:val="002060"/>
              </w:rPr>
            </w:pPr>
            <w:r>
              <w:rPr>
                <w:b/>
                <w:color w:val="002060"/>
              </w:rPr>
              <w:t>+15.03%</w:t>
            </w:r>
          </w:p>
        </w:tc>
        <w:tc>
          <w:tcPr>
            <w:tcW w:w="1143" w:type="dxa"/>
            <w:tcBorders>
              <w:top w:val="single" w:sz="4" w:space="0" w:color="000000"/>
              <w:left w:val="single" w:sz="4" w:space="0" w:color="000000"/>
              <w:bottom w:val="single" w:sz="4" w:space="0" w:color="000000"/>
              <w:right w:val="single" w:sz="4" w:space="0" w:color="000000"/>
            </w:tcBorders>
          </w:tcPr>
          <w:p w:rsidR="000D3EE3" w:rsidRDefault="000D3EE3">
            <w:pPr>
              <w:ind w:left="70"/>
              <w:rPr>
                <w:b/>
                <w:color w:val="002060"/>
              </w:rPr>
            </w:pPr>
            <w:r>
              <w:rPr>
                <w:b/>
                <w:color w:val="002060"/>
              </w:rPr>
              <w:t>+116.17%</w:t>
            </w:r>
          </w:p>
        </w:tc>
      </w:tr>
    </w:tbl>
    <w:p w:rsidR="008B3CFD" w:rsidRDefault="00532F44">
      <w:pPr>
        <w:spacing w:after="0"/>
        <w:ind w:left="29"/>
      </w:pPr>
      <w:r>
        <w:rPr>
          <w:color w:val="002060"/>
          <w:sz w:val="24"/>
        </w:rPr>
        <w:t xml:space="preserve"> </w:t>
      </w:r>
      <w:r>
        <w:t xml:space="preserve">  </w:t>
      </w:r>
    </w:p>
    <w:p w:rsidR="00157864" w:rsidRDefault="00532F44" w:rsidP="00157864">
      <w:pPr>
        <w:spacing w:after="216"/>
        <w:ind w:left="29"/>
        <w:rPr>
          <w:color w:val="002060"/>
          <w:sz w:val="24"/>
        </w:rPr>
      </w:pPr>
      <w:r>
        <w:rPr>
          <w:color w:val="002060"/>
          <w:sz w:val="24"/>
        </w:rPr>
        <w:t xml:space="preserve"> </w:t>
      </w:r>
    </w:p>
    <w:p w:rsidR="00157864" w:rsidRDefault="00157864" w:rsidP="00157864">
      <w:pPr>
        <w:spacing w:after="216"/>
        <w:ind w:left="29"/>
        <w:rPr>
          <w:color w:val="002060"/>
          <w:sz w:val="24"/>
        </w:rPr>
      </w:pPr>
    </w:p>
    <w:p w:rsidR="00992272" w:rsidRDefault="00992272" w:rsidP="000D3EE3">
      <w:pPr>
        <w:spacing w:after="216"/>
        <w:ind w:left="29"/>
        <w:rPr>
          <w:color w:val="002060"/>
          <w:sz w:val="24"/>
        </w:rPr>
      </w:pPr>
      <w:r>
        <w:rPr>
          <w:color w:val="002060"/>
          <w:sz w:val="24"/>
        </w:rPr>
        <w:t xml:space="preserve">In </w:t>
      </w:r>
      <w:r w:rsidR="000D3EE3">
        <w:rPr>
          <w:color w:val="002060"/>
          <w:sz w:val="24"/>
        </w:rPr>
        <w:t>Octo</w:t>
      </w:r>
      <w:r w:rsidR="00225F14">
        <w:rPr>
          <w:color w:val="002060"/>
          <w:sz w:val="24"/>
        </w:rPr>
        <w:t>ber</w:t>
      </w:r>
      <w:r w:rsidR="000D7DB7">
        <w:rPr>
          <w:color w:val="002060"/>
          <w:sz w:val="24"/>
        </w:rPr>
        <w:t xml:space="preserve">, the </w:t>
      </w:r>
      <w:r w:rsidR="00225F14">
        <w:rPr>
          <w:color w:val="002060"/>
          <w:sz w:val="24"/>
        </w:rPr>
        <w:t>S&amp;P</w:t>
      </w:r>
      <w:r w:rsidR="000D7DB7">
        <w:rPr>
          <w:color w:val="002060"/>
          <w:sz w:val="24"/>
        </w:rPr>
        <w:t xml:space="preserve"> rose </w:t>
      </w:r>
      <w:r w:rsidR="000D3EE3">
        <w:rPr>
          <w:color w:val="002060"/>
          <w:sz w:val="24"/>
        </w:rPr>
        <w:t>by 2.22</w:t>
      </w:r>
      <w:r w:rsidR="00157864">
        <w:rPr>
          <w:color w:val="002060"/>
          <w:sz w:val="24"/>
        </w:rPr>
        <w:t xml:space="preserve">% and the </w:t>
      </w:r>
      <w:r w:rsidR="00225F14">
        <w:rPr>
          <w:color w:val="002060"/>
          <w:sz w:val="24"/>
        </w:rPr>
        <w:t>Fu</w:t>
      </w:r>
      <w:r w:rsidR="000D3EE3">
        <w:rPr>
          <w:color w:val="002060"/>
          <w:sz w:val="24"/>
        </w:rPr>
        <w:t>nd rose by 0.35%.  We were keeping up until the tax plan was cast into doubt on October 30</w:t>
      </w:r>
      <w:r w:rsidR="000D3EE3" w:rsidRPr="000D3EE3">
        <w:rPr>
          <w:color w:val="002060"/>
          <w:sz w:val="24"/>
          <w:vertAlign w:val="superscript"/>
        </w:rPr>
        <w:t>th</w:t>
      </w:r>
      <w:r w:rsidR="000D3EE3">
        <w:rPr>
          <w:color w:val="002060"/>
          <w:sz w:val="24"/>
        </w:rPr>
        <w:t xml:space="preserve">.  All small stocks </w:t>
      </w:r>
      <w:proofErr w:type="gramStart"/>
      <w:r w:rsidR="000D3EE3">
        <w:rPr>
          <w:color w:val="002060"/>
          <w:sz w:val="24"/>
        </w:rPr>
        <w:t>fell</w:t>
      </w:r>
      <w:proofErr w:type="gramEnd"/>
      <w:r w:rsidR="000D3EE3">
        <w:rPr>
          <w:color w:val="002060"/>
          <w:sz w:val="24"/>
        </w:rPr>
        <w:t xml:space="preserve"> and the Fund lost 1.8% in one of the worst days of the year.</w:t>
      </w:r>
    </w:p>
    <w:p w:rsidR="000D3EE3" w:rsidRDefault="000D3EE3" w:rsidP="000D3EE3">
      <w:pPr>
        <w:spacing w:after="216"/>
        <w:ind w:left="29"/>
        <w:rPr>
          <w:color w:val="002060"/>
          <w:sz w:val="24"/>
        </w:rPr>
      </w:pPr>
    </w:p>
    <w:p w:rsidR="000D3EE3" w:rsidRDefault="000D3EE3" w:rsidP="000D3EE3">
      <w:pPr>
        <w:spacing w:after="216"/>
        <w:ind w:left="29"/>
        <w:rPr>
          <w:color w:val="002060"/>
          <w:sz w:val="24"/>
        </w:rPr>
      </w:pPr>
      <w:r>
        <w:rPr>
          <w:color w:val="002060"/>
          <w:sz w:val="24"/>
        </w:rPr>
        <w:t>Small stocks are crawling back as the underlying trends re-assert themselves but the bigger shock for me came on October 27</w:t>
      </w:r>
      <w:r w:rsidRPr="000D3EE3">
        <w:rPr>
          <w:color w:val="002060"/>
          <w:sz w:val="24"/>
          <w:vertAlign w:val="superscript"/>
        </w:rPr>
        <w:t>th</w:t>
      </w:r>
      <w:r>
        <w:rPr>
          <w:color w:val="002060"/>
          <w:sz w:val="24"/>
        </w:rPr>
        <w:t xml:space="preserve">, as four of the largest tech companies accelerated their rate of growth and surged to new highs. At these new improved growth rates, we can even start to justify their price. I am face to face with the awful truth that I have been wrong for years as I relied on historic factors of their type of stock (such as big, high P/E, low book) to predict under-performance.  The most </w:t>
      </w:r>
      <w:proofErr w:type="gramStart"/>
      <w:r>
        <w:rPr>
          <w:color w:val="002060"/>
          <w:sz w:val="24"/>
        </w:rPr>
        <w:t>important factor</w:t>
      </w:r>
      <w:proofErr w:type="gramEnd"/>
      <w:r>
        <w:rPr>
          <w:color w:val="002060"/>
          <w:sz w:val="24"/>
        </w:rPr>
        <w:t xml:space="preserve"> is that high growth rates revert to the mean quicker than the market expects.  However, I missed the point that this doesn’t happen if these guys are accreting monopoly power because we haven’t seen it before.  Judge Bork’s Monopoly Rules, written in the 1980s, protect the consumer on price and are therefore inapplicable to the world of big data and control of the consumer.  It will be a while before the game is re-written and the clamp-down occurs.</w:t>
      </w:r>
    </w:p>
    <w:p w:rsidR="000D3EE3" w:rsidRDefault="000D3EE3" w:rsidP="000D3EE3">
      <w:pPr>
        <w:spacing w:after="216"/>
        <w:ind w:left="29"/>
        <w:rPr>
          <w:color w:val="002060"/>
          <w:sz w:val="24"/>
        </w:rPr>
      </w:pPr>
    </w:p>
    <w:p w:rsidR="000D3EE3" w:rsidRDefault="000D3EE3" w:rsidP="000D3EE3">
      <w:pPr>
        <w:spacing w:after="216"/>
        <w:ind w:left="29"/>
        <w:rPr>
          <w:color w:val="002060"/>
          <w:sz w:val="24"/>
        </w:rPr>
      </w:pPr>
      <w:r>
        <w:rPr>
          <w:color w:val="002060"/>
          <w:sz w:val="24"/>
        </w:rPr>
        <w:t xml:space="preserve">What to do?  Well, we have our own obscure ways of keeping up with </w:t>
      </w:r>
      <w:proofErr w:type="gramStart"/>
      <w:r>
        <w:rPr>
          <w:color w:val="002060"/>
          <w:sz w:val="24"/>
        </w:rPr>
        <w:t>trends</w:t>
      </w:r>
      <w:proofErr w:type="gramEnd"/>
      <w:r>
        <w:rPr>
          <w:color w:val="002060"/>
          <w:sz w:val="24"/>
        </w:rPr>
        <w:t xml:space="preserve"> but we have just passed the seasonal danger period of May to October and with the strong sector, tech, surprising on the upside, the conditions are aligned for a melt-up into the Spring, interest rates notwithstanding.  I have taken the precaution of putting 1% of the Fund into millennial stocks Cognex and Nvidia</w:t>
      </w:r>
      <w:bookmarkStart w:id="0" w:name="_GoBack"/>
      <w:bookmarkEnd w:id="0"/>
      <w:r>
        <w:rPr>
          <w:color w:val="002060"/>
          <w:sz w:val="24"/>
        </w:rPr>
        <w:t xml:space="preserve"> to keep me sane but am now aware the usual suspects may go on and on. </w:t>
      </w:r>
    </w:p>
    <w:p w:rsidR="000D7DB7" w:rsidRDefault="000D7DB7" w:rsidP="000D7DB7">
      <w:pPr>
        <w:spacing w:after="218" w:line="263" w:lineRule="auto"/>
        <w:ind w:left="19" w:right="-1" w:hanging="20"/>
        <w:rPr>
          <w:color w:val="002060"/>
          <w:sz w:val="24"/>
        </w:rPr>
      </w:pPr>
    </w:p>
    <w:p w:rsidR="000D7DB7" w:rsidRDefault="000D7DB7" w:rsidP="000D7DB7">
      <w:pPr>
        <w:spacing w:after="218" w:line="263" w:lineRule="auto"/>
        <w:ind w:left="19" w:right="-1" w:hanging="20"/>
        <w:rPr>
          <w:color w:val="002060"/>
          <w:sz w:val="24"/>
        </w:rPr>
      </w:pPr>
    </w:p>
    <w:p w:rsidR="000D7DB7" w:rsidRDefault="000D7DB7" w:rsidP="000D7DB7">
      <w:pPr>
        <w:spacing w:after="218" w:line="263" w:lineRule="auto"/>
        <w:ind w:left="19" w:right="-1" w:hanging="20"/>
      </w:pPr>
    </w:p>
    <w:p w:rsidR="008B3CFD" w:rsidRDefault="00532F44">
      <w:pPr>
        <w:spacing w:after="85" w:line="216" w:lineRule="auto"/>
        <w:ind w:left="-5" w:hanging="10"/>
      </w:pPr>
      <w:r>
        <w:rPr>
          <w:rFonts w:ascii="Arial" w:eastAsia="Arial" w:hAnsi="Arial" w:cs="Arial"/>
          <w:b/>
          <w:sz w:val="16"/>
        </w:rPr>
        <w:t xml:space="preserve">Risk Warnings and Other </w:t>
      </w:r>
      <w:proofErr w:type="gramStart"/>
      <w:r>
        <w:rPr>
          <w:rFonts w:ascii="Arial" w:eastAsia="Arial" w:hAnsi="Arial" w:cs="Arial"/>
          <w:b/>
          <w:sz w:val="16"/>
        </w:rPr>
        <w:t>Important Information</w:t>
      </w:r>
      <w:proofErr w:type="gramEnd"/>
      <w:r>
        <w:rPr>
          <w:rFonts w:ascii="Times New Roman" w:eastAsia="Times New Roman" w:hAnsi="Times New Roman" w:cs="Times New Roman"/>
          <w:sz w:val="16"/>
        </w:rPr>
        <w:t xml:space="preserve"> </w:t>
      </w:r>
      <w:r>
        <w:t xml:space="preserve">  </w:t>
      </w:r>
    </w:p>
    <w:p w:rsidR="008B3CFD" w:rsidRDefault="00532F44">
      <w:pPr>
        <w:spacing w:after="23" w:line="225" w:lineRule="auto"/>
        <w:ind w:left="5" w:hanging="10"/>
      </w:pPr>
      <w:r>
        <w:rPr>
          <w:rFonts w:ascii="Arial" w:eastAsia="Arial" w:hAnsi="Arial" w:cs="Arial"/>
          <w:sz w:val="16"/>
        </w:rPr>
        <w:t xml:space="preserve">This document is issued by De Lisle Partners LLP, registered in England </w:t>
      </w:r>
      <w:proofErr w:type="gramStart"/>
      <w:r>
        <w:rPr>
          <w:rFonts w:ascii="Arial" w:eastAsia="Arial" w:hAnsi="Arial" w:cs="Arial"/>
          <w:sz w:val="16"/>
        </w:rPr>
        <w:t>No.OC</w:t>
      </w:r>
      <w:proofErr w:type="gramEnd"/>
      <w:r>
        <w:rPr>
          <w:rFonts w:ascii="Arial" w:eastAsia="Arial" w:hAnsi="Arial" w:cs="Arial"/>
          <w:sz w:val="16"/>
        </w:rPr>
        <w:t xml:space="preserve">310994, authorized and regulated by the </w:t>
      </w:r>
      <w:r>
        <w:t xml:space="preserve"> </w:t>
      </w:r>
    </w:p>
    <w:p w:rsidR="008B3CFD" w:rsidRDefault="00532F44">
      <w:pPr>
        <w:spacing w:after="217" w:line="225" w:lineRule="auto"/>
        <w:ind w:left="5" w:hanging="10"/>
      </w:pPr>
      <w:r>
        <w:rPr>
          <w:rFonts w:ascii="Arial" w:eastAsia="Arial" w:hAnsi="Arial" w:cs="Arial"/>
          <w:sz w:val="16"/>
        </w:rPr>
        <w:t xml:space="preserve">Financial Conduct Authority. The registered office of </w:t>
      </w:r>
      <w:proofErr w:type="spellStart"/>
      <w:r>
        <w:rPr>
          <w:rFonts w:ascii="Arial" w:eastAsia="Arial" w:hAnsi="Arial" w:cs="Arial"/>
          <w:sz w:val="16"/>
        </w:rPr>
        <w:t>Valu-Trac</w:t>
      </w:r>
      <w:proofErr w:type="spellEnd"/>
      <w:r>
        <w:rPr>
          <w:rFonts w:ascii="Arial" w:eastAsia="Arial" w:hAnsi="Arial" w:cs="Arial"/>
          <w:sz w:val="16"/>
        </w:rPr>
        <w:t xml:space="preserve"> Investment Management Ltd is Suite 150-153, 2nd Floor Temple Chambers, Temple Avenue, London, EC4Y 0DA, Head Office at Mains of Orton, Orton, </w:t>
      </w:r>
      <w:proofErr w:type="spellStart"/>
      <w:r>
        <w:rPr>
          <w:rFonts w:ascii="Arial" w:eastAsia="Arial" w:hAnsi="Arial" w:cs="Arial"/>
          <w:sz w:val="16"/>
        </w:rPr>
        <w:t>Fochabers</w:t>
      </w:r>
      <w:proofErr w:type="spellEnd"/>
      <w:r>
        <w:rPr>
          <w:rFonts w:ascii="Arial" w:eastAsia="Arial" w:hAnsi="Arial" w:cs="Arial"/>
          <w:sz w:val="16"/>
        </w:rPr>
        <w:t xml:space="preserve">, Moray, Scotland IV32 7QE. </w:t>
      </w:r>
      <w:r>
        <w:t xml:space="preserve">  </w:t>
      </w:r>
    </w:p>
    <w:p w:rsidR="008B3CFD" w:rsidRDefault="00532F44">
      <w:pPr>
        <w:spacing w:after="152" w:line="225" w:lineRule="auto"/>
        <w:ind w:left="5" w:hanging="10"/>
      </w:pPr>
      <w:r>
        <w:rPr>
          <w:rFonts w:ascii="Arial" w:eastAsia="Arial" w:hAnsi="Arial" w:cs="Arial"/>
          <w:sz w:val="16"/>
        </w:rPr>
        <w:t xml:space="preserve">The Fund qualifies as an Undertaking for Collective Investment in Transferable Securities (UCITSIII).  </w:t>
      </w:r>
      <w:r>
        <w:t xml:space="preserve">  </w:t>
      </w:r>
    </w:p>
    <w:p w:rsidR="008B3CFD" w:rsidRDefault="00532F44">
      <w:pPr>
        <w:spacing w:after="152" w:line="225" w:lineRule="auto"/>
        <w:ind w:left="5" w:hanging="10"/>
      </w:pPr>
      <w:r>
        <w:rPr>
          <w:rFonts w:ascii="Arial" w:eastAsia="Arial" w:hAnsi="Arial" w:cs="Arial"/>
          <w:sz w:val="16"/>
        </w:rPr>
        <w:t xml:space="preserve">This document should not be construed as investment advice or an offer to invest in the Fund. Nor should its content be interpreted as investment or tax advice for which you should consult your independent financial adviser and/or accountant. The information and opinion it contains have been compiled or arrived at from sources believed to be reliable at the time and are given in good faith, but no representation is made as to their accuracy, completeness or correctness. Any opinion expressed in this document represents the views of De Lisle Partners at the time of preparation, but is subject to change. For professional use only.  </w:t>
      </w:r>
      <w:r>
        <w:t xml:space="preserve">  </w:t>
      </w:r>
    </w:p>
    <w:p w:rsidR="008B3CFD" w:rsidRDefault="00532F44">
      <w:pPr>
        <w:spacing w:after="85" w:line="216" w:lineRule="auto"/>
        <w:ind w:left="-5" w:hanging="10"/>
      </w:pPr>
      <w:r>
        <w:rPr>
          <w:rFonts w:ascii="Arial" w:eastAsia="Arial" w:hAnsi="Arial" w:cs="Arial"/>
          <w:b/>
          <w:sz w:val="16"/>
        </w:rPr>
        <w:t xml:space="preserve">The value of an investment and the income from it can fall as well as rise </w:t>
      </w:r>
      <w:proofErr w:type="gramStart"/>
      <w:r>
        <w:rPr>
          <w:rFonts w:ascii="Arial" w:eastAsia="Arial" w:hAnsi="Arial" w:cs="Arial"/>
          <w:b/>
          <w:sz w:val="16"/>
        </w:rPr>
        <w:t>as a result of</w:t>
      </w:r>
      <w:proofErr w:type="gramEnd"/>
      <w:r>
        <w:rPr>
          <w:rFonts w:ascii="Arial" w:eastAsia="Arial" w:hAnsi="Arial" w:cs="Arial"/>
          <w:b/>
          <w:sz w:val="16"/>
        </w:rPr>
        <w:t xml:space="preserve"> market and currency fluctuations and you may not get back the amount originally invested. Past performance should not be viewed as a guide to future performance. Please read the Prospectus before making an investment.</w:t>
      </w:r>
      <w:r>
        <w:rPr>
          <w:rFonts w:ascii="Arial" w:eastAsia="Arial" w:hAnsi="Arial" w:cs="Arial"/>
          <w:sz w:val="16"/>
        </w:rPr>
        <w:t xml:space="preserve"> </w:t>
      </w:r>
      <w:r>
        <w:t xml:space="preserve">  </w:t>
      </w:r>
    </w:p>
    <w:sectPr w:rsidR="008B3CFD">
      <w:pgSz w:w="11906" w:h="16838"/>
      <w:pgMar w:top="1538" w:right="1501" w:bottom="1901"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FD"/>
    <w:rsid w:val="000D1053"/>
    <w:rsid w:val="000D3EE3"/>
    <w:rsid w:val="000D7DB7"/>
    <w:rsid w:val="00154417"/>
    <w:rsid w:val="00157864"/>
    <w:rsid w:val="00225F14"/>
    <w:rsid w:val="00517F96"/>
    <w:rsid w:val="00532F44"/>
    <w:rsid w:val="00681494"/>
    <w:rsid w:val="00756CE8"/>
    <w:rsid w:val="00785710"/>
    <w:rsid w:val="00842C67"/>
    <w:rsid w:val="008B3CFD"/>
    <w:rsid w:val="00992272"/>
    <w:rsid w:val="00995F81"/>
    <w:rsid w:val="00C10A8D"/>
    <w:rsid w:val="00DC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EF7D"/>
  <w15:docId w15:val="{2E8D474B-41EF-40BA-BBF0-5458DBB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5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6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delisle</dc:creator>
  <cp:keywords/>
  <cp:lastModifiedBy>Sarah de Lisle</cp:lastModifiedBy>
  <cp:revision>3</cp:revision>
  <cp:lastPrinted>2017-09-02T19:17:00Z</cp:lastPrinted>
  <dcterms:created xsi:type="dcterms:W3CDTF">2017-11-03T11:32:00Z</dcterms:created>
  <dcterms:modified xsi:type="dcterms:W3CDTF">2017-11-03T11:44:00Z</dcterms:modified>
</cp:coreProperties>
</file>