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9F8" w:rsidRDefault="009563D4">
      <w:pPr>
        <w:spacing w:after="0"/>
        <w:ind w:left="4083"/>
      </w:pPr>
      <w:r>
        <w:rPr>
          <w:b/>
          <w:color w:val="002060"/>
          <w:sz w:val="24"/>
        </w:rPr>
        <w:t xml:space="preserve">September 2017 </w:t>
      </w:r>
      <w:r>
        <w:t xml:space="preserve">   </w:t>
      </w:r>
    </w:p>
    <w:p w:rsidR="00FC09F8" w:rsidRDefault="009563D4">
      <w:pPr>
        <w:spacing w:after="0"/>
        <w:ind w:left="4599"/>
      </w:pPr>
      <w:r>
        <w:t xml:space="preserve">  </w:t>
      </w:r>
    </w:p>
    <w:tbl>
      <w:tblPr>
        <w:tblStyle w:val="TableGrid"/>
        <w:tblW w:w="8531" w:type="dxa"/>
        <w:tblInd w:w="62" w:type="dxa"/>
        <w:tblCellMar>
          <w:top w:w="185" w:type="dxa"/>
          <w:left w:w="0" w:type="dxa"/>
          <w:bottom w:w="0" w:type="dxa"/>
          <w:right w:w="0" w:type="dxa"/>
        </w:tblCellMar>
        <w:tblLook w:val="04A0" w:firstRow="1" w:lastRow="0" w:firstColumn="1" w:lastColumn="0" w:noHBand="0" w:noVBand="1"/>
      </w:tblPr>
      <w:tblGrid>
        <w:gridCol w:w="1229"/>
        <w:gridCol w:w="994"/>
        <w:gridCol w:w="1469"/>
        <w:gridCol w:w="1181"/>
        <w:gridCol w:w="1049"/>
        <w:gridCol w:w="1466"/>
        <w:gridCol w:w="1143"/>
      </w:tblGrid>
      <w:tr w:rsidR="00FC09F8">
        <w:trPr>
          <w:trHeight w:val="1133"/>
        </w:trPr>
        <w:tc>
          <w:tcPr>
            <w:tcW w:w="1229"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 xml:space="preserve"> </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Fund</w:t>
            </w:r>
            <w:r>
              <w:t xml:space="preserve">   </w:t>
            </w:r>
          </w:p>
        </w:tc>
        <w:tc>
          <w:tcPr>
            <w:tcW w:w="1181"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t xml:space="preserve">   </w:t>
            </w:r>
          </w:p>
        </w:tc>
        <w:tc>
          <w:tcPr>
            <w:tcW w:w="1049"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t xml:space="preserve">   </w:t>
            </w:r>
          </w:p>
        </w:tc>
        <w:tc>
          <w:tcPr>
            <w:tcW w:w="1466"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S&amp;P</w:t>
            </w:r>
            <w:proofErr w:type="gramStart"/>
            <w:r>
              <w:rPr>
                <w:b/>
                <w:color w:val="002060"/>
              </w:rPr>
              <w:t>500</w:t>
            </w:r>
            <w:r>
              <w:t xml:space="preserve">  </w:t>
            </w:r>
            <w:r>
              <w:rPr>
                <w:b/>
                <w:color w:val="002060"/>
              </w:rPr>
              <w:t>Index</w:t>
            </w:r>
            <w:proofErr w:type="gramEnd"/>
            <w:r>
              <w:t xml:space="preserve">   </w:t>
            </w:r>
          </w:p>
        </w:tc>
        <w:tc>
          <w:tcPr>
            <w:tcW w:w="1143"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t xml:space="preserve">   </w:t>
            </w:r>
          </w:p>
        </w:tc>
      </w:tr>
      <w:tr w:rsidR="00FC09F8">
        <w:trPr>
          <w:trHeight w:val="1133"/>
        </w:trPr>
        <w:tc>
          <w:tcPr>
            <w:tcW w:w="1229"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i/>
                <w:color w:val="002060"/>
              </w:rPr>
              <w:t xml:space="preserve"> </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i/>
                <w:color w:val="002060"/>
              </w:rPr>
              <w:t>Performance</w:t>
            </w:r>
            <w:r>
              <w:t xml:space="preserve">   </w:t>
            </w:r>
          </w:p>
        </w:tc>
        <w:tc>
          <w:tcPr>
            <w:tcW w:w="1181"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i/>
                <w:color w:val="002060"/>
              </w:rPr>
              <w:t>Inception to Date</w:t>
            </w:r>
            <w:r>
              <w:t xml:space="preserve">   </w:t>
            </w:r>
          </w:p>
        </w:tc>
        <w:tc>
          <w:tcPr>
            <w:tcW w:w="1049"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t xml:space="preserve">   </w:t>
            </w:r>
          </w:p>
        </w:tc>
        <w:tc>
          <w:tcPr>
            <w:tcW w:w="1466"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i/>
                <w:color w:val="002060"/>
              </w:rPr>
              <w:t>Performance</w:t>
            </w:r>
            <w:r>
              <w:t xml:space="preserve">   </w:t>
            </w:r>
          </w:p>
        </w:tc>
        <w:tc>
          <w:tcPr>
            <w:tcW w:w="1143"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i/>
                <w:color w:val="002060"/>
              </w:rPr>
              <w:t>Inception to Date</w:t>
            </w:r>
            <w:r>
              <w:t xml:space="preserve">   </w:t>
            </w:r>
          </w:p>
        </w:tc>
      </w:tr>
      <w:tr w:rsidR="00FC09F8">
        <w:trPr>
          <w:trHeight w:val="829"/>
        </w:trPr>
        <w:tc>
          <w:tcPr>
            <w:tcW w:w="1229"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2005</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+14.01%</w:t>
            </w:r>
            <w:r>
              <w:t xml:space="preserve">   </w:t>
            </w:r>
          </w:p>
        </w:tc>
        <w:tc>
          <w:tcPr>
            <w:tcW w:w="1181"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+14.01%</w:t>
            </w:r>
            <w:r>
              <w:t xml:space="preserve">   </w:t>
            </w:r>
          </w:p>
        </w:tc>
        <w:tc>
          <w:tcPr>
            <w:tcW w:w="1049"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t xml:space="preserve">   </w:t>
            </w:r>
          </w:p>
        </w:tc>
        <w:tc>
          <w:tcPr>
            <w:tcW w:w="1466"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+4.78%</w:t>
            </w:r>
            <w:r>
              <w:t xml:space="preserve">   </w:t>
            </w:r>
          </w:p>
        </w:tc>
        <w:tc>
          <w:tcPr>
            <w:tcW w:w="1143"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+4.78%</w:t>
            </w:r>
            <w:r>
              <w:t xml:space="preserve">   </w:t>
            </w:r>
          </w:p>
        </w:tc>
      </w:tr>
      <w:tr w:rsidR="00FC09F8">
        <w:trPr>
          <w:trHeight w:val="823"/>
        </w:trPr>
        <w:tc>
          <w:tcPr>
            <w:tcW w:w="1229"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2006</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+16.91%</w:t>
            </w:r>
            <w:r>
              <w:t xml:space="preserve">   </w:t>
            </w:r>
          </w:p>
        </w:tc>
        <w:tc>
          <w:tcPr>
            <w:tcW w:w="1181"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+33.29%</w:t>
            </w:r>
            <w:r>
              <w:t xml:space="preserve">   </w:t>
            </w:r>
          </w:p>
        </w:tc>
        <w:tc>
          <w:tcPr>
            <w:tcW w:w="1049"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t xml:space="preserve">   </w:t>
            </w:r>
          </w:p>
        </w:tc>
        <w:tc>
          <w:tcPr>
            <w:tcW w:w="1466"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+13.62%</w:t>
            </w:r>
            <w:r>
              <w:t xml:space="preserve">   </w:t>
            </w:r>
          </w:p>
        </w:tc>
        <w:tc>
          <w:tcPr>
            <w:tcW w:w="1143"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+19.05%</w:t>
            </w:r>
            <w:r>
              <w:t xml:space="preserve">   </w:t>
            </w:r>
          </w:p>
        </w:tc>
      </w:tr>
      <w:tr w:rsidR="00FC09F8">
        <w:trPr>
          <w:trHeight w:val="826"/>
        </w:trPr>
        <w:tc>
          <w:tcPr>
            <w:tcW w:w="1229"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2007</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+4.06%</w:t>
            </w:r>
            <w:r>
              <w:t xml:space="preserve">   </w:t>
            </w:r>
          </w:p>
        </w:tc>
        <w:tc>
          <w:tcPr>
            <w:tcW w:w="1181"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+38.70%</w:t>
            </w:r>
            <w:r>
              <w:t xml:space="preserve">   </w:t>
            </w:r>
          </w:p>
        </w:tc>
        <w:tc>
          <w:tcPr>
            <w:tcW w:w="1049"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t xml:space="preserve">   </w:t>
            </w:r>
          </w:p>
        </w:tc>
        <w:tc>
          <w:tcPr>
            <w:tcW w:w="1466"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+3.53%</w:t>
            </w:r>
            <w:r>
              <w:t xml:space="preserve">   </w:t>
            </w:r>
          </w:p>
        </w:tc>
        <w:tc>
          <w:tcPr>
            <w:tcW w:w="1143"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+23.25%</w:t>
            </w:r>
            <w:r>
              <w:t xml:space="preserve">   </w:t>
            </w:r>
          </w:p>
        </w:tc>
      </w:tr>
      <w:tr w:rsidR="00FC09F8">
        <w:trPr>
          <w:trHeight w:val="826"/>
        </w:trPr>
        <w:tc>
          <w:tcPr>
            <w:tcW w:w="1229"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2008</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-47.99%</w:t>
            </w:r>
            <w:r>
              <w:t xml:space="preserve">   </w:t>
            </w:r>
          </w:p>
        </w:tc>
        <w:tc>
          <w:tcPr>
            <w:tcW w:w="1181"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-27.86%</w:t>
            </w:r>
            <w:r>
              <w:t xml:space="preserve">   </w:t>
            </w:r>
          </w:p>
        </w:tc>
        <w:tc>
          <w:tcPr>
            <w:tcW w:w="1049"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t xml:space="preserve">   </w:t>
            </w:r>
          </w:p>
        </w:tc>
        <w:tc>
          <w:tcPr>
            <w:tcW w:w="1466"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-38.49%</w:t>
            </w:r>
            <w:r>
              <w:t xml:space="preserve">   </w:t>
            </w:r>
          </w:p>
        </w:tc>
        <w:tc>
          <w:tcPr>
            <w:tcW w:w="1143"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-24.18%</w:t>
            </w:r>
            <w:r>
              <w:t xml:space="preserve">   </w:t>
            </w:r>
          </w:p>
        </w:tc>
      </w:tr>
      <w:tr w:rsidR="00FC09F8">
        <w:trPr>
          <w:trHeight w:val="823"/>
        </w:trPr>
        <w:tc>
          <w:tcPr>
            <w:tcW w:w="1229"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2009</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+42.74%</w:t>
            </w:r>
            <w:r>
              <w:t xml:space="preserve">   </w:t>
            </w:r>
          </w:p>
        </w:tc>
        <w:tc>
          <w:tcPr>
            <w:tcW w:w="1181"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+2.97%</w:t>
            </w:r>
            <w:r>
              <w:t xml:space="preserve">   </w:t>
            </w:r>
          </w:p>
        </w:tc>
        <w:tc>
          <w:tcPr>
            <w:tcW w:w="1049"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t xml:space="preserve">   </w:t>
            </w:r>
          </w:p>
        </w:tc>
        <w:tc>
          <w:tcPr>
            <w:tcW w:w="1466"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+23.45%</w:t>
            </w:r>
            <w:r>
              <w:t xml:space="preserve">   </w:t>
            </w:r>
          </w:p>
        </w:tc>
        <w:tc>
          <w:tcPr>
            <w:tcW w:w="1143"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-6.40%</w:t>
            </w:r>
            <w:r>
              <w:t xml:space="preserve">   </w:t>
            </w:r>
          </w:p>
        </w:tc>
      </w:tr>
      <w:tr w:rsidR="00FC09F8">
        <w:trPr>
          <w:trHeight w:val="826"/>
        </w:trPr>
        <w:tc>
          <w:tcPr>
            <w:tcW w:w="1229"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2010</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+24.94%</w:t>
            </w:r>
            <w:r>
              <w:t xml:space="preserve">   </w:t>
            </w:r>
          </w:p>
        </w:tc>
        <w:tc>
          <w:tcPr>
            <w:tcW w:w="1181"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+28.65%</w:t>
            </w:r>
            <w:r>
              <w:t xml:space="preserve">   </w:t>
            </w:r>
          </w:p>
        </w:tc>
        <w:tc>
          <w:tcPr>
            <w:tcW w:w="1049"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t xml:space="preserve">   </w:t>
            </w:r>
          </w:p>
        </w:tc>
        <w:tc>
          <w:tcPr>
            <w:tcW w:w="1466"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+12.78%</w:t>
            </w:r>
            <w:r>
              <w:t xml:space="preserve">   </w:t>
            </w:r>
          </w:p>
        </w:tc>
        <w:tc>
          <w:tcPr>
            <w:tcW w:w="1143"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+5.57%</w:t>
            </w:r>
            <w:r>
              <w:t xml:space="preserve">   </w:t>
            </w:r>
          </w:p>
        </w:tc>
      </w:tr>
      <w:tr w:rsidR="00FC09F8">
        <w:trPr>
          <w:trHeight w:val="828"/>
        </w:trPr>
        <w:tc>
          <w:tcPr>
            <w:tcW w:w="1229"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2011</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+1.79%</w:t>
            </w:r>
            <w:r>
              <w:t xml:space="preserve">   </w:t>
            </w:r>
          </w:p>
        </w:tc>
        <w:tc>
          <w:tcPr>
            <w:tcW w:w="1181"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+30.96%</w:t>
            </w:r>
            <w:r>
              <w:t xml:space="preserve">   </w:t>
            </w:r>
          </w:p>
        </w:tc>
        <w:tc>
          <w:tcPr>
            <w:tcW w:w="1049"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t xml:space="preserve">   </w:t>
            </w:r>
          </w:p>
        </w:tc>
        <w:tc>
          <w:tcPr>
            <w:tcW w:w="1466"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0.00%</w:t>
            </w:r>
            <w:r>
              <w:t xml:space="preserve">   </w:t>
            </w:r>
          </w:p>
        </w:tc>
        <w:tc>
          <w:tcPr>
            <w:tcW w:w="1143"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+5.56%</w:t>
            </w:r>
            <w:r>
              <w:t xml:space="preserve">   </w:t>
            </w:r>
          </w:p>
        </w:tc>
      </w:tr>
      <w:tr w:rsidR="00FC09F8">
        <w:trPr>
          <w:trHeight w:val="821"/>
        </w:trPr>
        <w:tc>
          <w:tcPr>
            <w:tcW w:w="1229"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2012</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+24.17%</w:t>
            </w:r>
            <w:r>
              <w:t xml:space="preserve">   </w:t>
            </w:r>
          </w:p>
        </w:tc>
        <w:tc>
          <w:tcPr>
            <w:tcW w:w="1181"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+62.61%</w:t>
            </w:r>
            <w:r>
              <w:t xml:space="preserve">   </w:t>
            </w:r>
          </w:p>
        </w:tc>
        <w:tc>
          <w:tcPr>
            <w:tcW w:w="1049"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t xml:space="preserve">   </w:t>
            </w:r>
          </w:p>
        </w:tc>
        <w:tc>
          <w:tcPr>
            <w:tcW w:w="1466"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+13.41%</w:t>
            </w:r>
            <w:r>
              <w:t xml:space="preserve">   </w:t>
            </w:r>
          </w:p>
        </w:tc>
        <w:tc>
          <w:tcPr>
            <w:tcW w:w="1143"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+19.71%</w:t>
            </w:r>
            <w:r>
              <w:t xml:space="preserve">   </w:t>
            </w:r>
          </w:p>
        </w:tc>
      </w:tr>
      <w:tr w:rsidR="00FC09F8">
        <w:trPr>
          <w:trHeight w:val="828"/>
        </w:trPr>
        <w:tc>
          <w:tcPr>
            <w:tcW w:w="1229"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2013</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+42.96%</w:t>
            </w:r>
            <w:r>
              <w:t xml:space="preserve">   </w:t>
            </w:r>
          </w:p>
        </w:tc>
        <w:tc>
          <w:tcPr>
            <w:tcW w:w="1181"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+132.46%</w:t>
            </w:r>
            <w:r>
              <w:t xml:space="preserve">   </w:t>
            </w:r>
          </w:p>
        </w:tc>
        <w:tc>
          <w:tcPr>
            <w:tcW w:w="1049"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t xml:space="preserve">   </w:t>
            </w:r>
          </w:p>
        </w:tc>
        <w:tc>
          <w:tcPr>
            <w:tcW w:w="1466"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+29.60%</w:t>
            </w:r>
            <w:r>
              <w:t xml:space="preserve">   </w:t>
            </w:r>
          </w:p>
        </w:tc>
        <w:tc>
          <w:tcPr>
            <w:tcW w:w="1143"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+55.15%</w:t>
            </w:r>
            <w:r>
              <w:t xml:space="preserve">   </w:t>
            </w:r>
          </w:p>
        </w:tc>
      </w:tr>
      <w:tr w:rsidR="00FC09F8">
        <w:trPr>
          <w:trHeight w:val="826"/>
        </w:trPr>
        <w:tc>
          <w:tcPr>
            <w:tcW w:w="1229"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lastRenderedPageBreak/>
              <w:t>2014</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+3.92%</w:t>
            </w:r>
            <w:r>
              <w:t xml:space="preserve">   </w:t>
            </w:r>
          </w:p>
        </w:tc>
        <w:tc>
          <w:tcPr>
            <w:tcW w:w="1181"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+141.59%</w:t>
            </w:r>
            <w:r>
              <w:t xml:space="preserve">   </w:t>
            </w:r>
          </w:p>
        </w:tc>
        <w:tc>
          <w:tcPr>
            <w:tcW w:w="1049"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t xml:space="preserve">   </w:t>
            </w:r>
          </w:p>
        </w:tc>
        <w:tc>
          <w:tcPr>
            <w:tcW w:w="1466"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+11.39%</w:t>
            </w:r>
            <w:r>
              <w:t xml:space="preserve">   </w:t>
            </w:r>
          </w:p>
        </w:tc>
        <w:tc>
          <w:tcPr>
            <w:tcW w:w="1143"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+72.82%</w:t>
            </w:r>
            <w:r>
              <w:t xml:space="preserve">   </w:t>
            </w:r>
          </w:p>
        </w:tc>
      </w:tr>
      <w:tr w:rsidR="00FC09F8">
        <w:trPr>
          <w:trHeight w:val="823"/>
        </w:trPr>
        <w:tc>
          <w:tcPr>
            <w:tcW w:w="1229"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2015</w:t>
            </w:r>
            <w:r>
              <w:rPr>
                <w:color w:val="002060"/>
              </w:rPr>
              <w:t xml:space="preserve"> </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color w:val="002060"/>
              </w:rPr>
              <w:t xml:space="preserve"> </w:t>
            </w: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-2.10%</w:t>
            </w:r>
            <w:r>
              <w:rPr>
                <w:color w:val="002060"/>
              </w:rPr>
              <w:t xml:space="preserve"> </w:t>
            </w:r>
            <w:r>
              <w:t xml:space="preserve">  </w:t>
            </w:r>
          </w:p>
        </w:tc>
        <w:tc>
          <w:tcPr>
            <w:tcW w:w="1181"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+136.51%</w:t>
            </w:r>
            <w:r>
              <w:rPr>
                <w:color w:val="002060"/>
              </w:rPr>
              <w:t xml:space="preserve"> </w:t>
            </w:r>
            <w:r>
              <w:t xml:space="preserve">  </w:t>
            </w:r>
          </w:p>
        </w:tc>
        <w:tc>
          <w:tcPr>
            <w:tcW w:w="1049"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color w:val="002060"/>
              </w:rPr>
              <w:t xml:space="preserve"> </w:t>
            </w:r>
            <w:r>
              <w:t xml:space="preserve">  </w:t>
            </w:r>
          </w:p>
        </w:tc>
        <w:tc>
          <w:tcPr>
            <w:tcW w:w="1466"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-0.73%</w:t>
            </w:r>
            <w:r>
              <w:rPr>
                <w:color w:val="002060"/>
              </w:rPr>
              <w:t xml:space="preserve"> </w:t>
            </w:r>
            <w:r>
              <w:t xml:space="preserve">  </w:t>
            </w:r>
          </w:p>
        </w:tc>
        <w:tc>
          <w:tcPr>
            <w:tcW w:w="1143"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+71.56%</w:t>
            </w:r>
            <w:r>
              <w:rPr>
                <w:color w:val="002060"/>
              </w:rPr>
              <w:t xml:space="preserve"> </w:t>
            </w:r>
            <w:r>
              <w:t xml:space="preserve">  </w:t>
            </w:r>
          </w:p>
        </w:tc>
      </w:tr>
      <w:tr w:rsidR="00FC09F8">
        <w:trPr>
          <w:trHeight w:val="826"/>
        </w:trPr>
        <w:tc>
          <w:tcPr>
            <w:tcW w:w="1229"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 xml:space="preserve">2016 </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 xml:space="preserve"> </w:t>
            </w: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 xml:space="preserve">+31.95% </w:t>
            </w:r>
            <w:r>
              <w:t xml:space="preserve">  </w:t>
            </w:r>
          </w:p>
        </w:tc>
        <w:tc>
          <w:tcPr>
            <w:tcW w:w="1181"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 xml:space="preserve">+212.07% </w:t>
            </w:r>
            <w:r>
              <w:t xml:space="preserve"> </w:t>
            </w:r>
          </w:p>
        </w:tc>
        <w:tc>
          <w:tcPr>
            <w:tcW w:w="1049"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t xml:space="preserve"> </w:t>
            </w:r>
            <w:r>
              <w:tab/>
            </w:r>
            <w:r>
              <w:rPr>
                <w:b/>
                <w:color w:val="002060"/>
              </w:rPr>
              <w:t xml:space="preserve"> </w:t>
            </w:r>
            <w:r>
              <w:t xml:space="preserve">  </w:t>
            </w:r>
          </w:p>
        </w:tc>
        <w:tc>
          <w:tcPr>
            <w:tcW w:w="1466"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 xml:space="preserve">+9.54% </w:t>
            </w:r>
            <w:r>
              <w:t xml:space="preserve">  </w:t>
            </w:r>
          </w:p>
        </w:tc>
        <w:tc>
          <w:tcPr>
            <w:tcW w:w="1143"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 xml:space="preserve">+87.93% </w:t>
            </w:r>
            <w:r>
              <w:t xml:space="preserve">  </w:t>
            </w:r>
          </w:p>
        </w:tc>
      </w:tr>
      <w:tr w:rsidR="00FC09F8">
        <w:trPr>
          <w:trHeight w:val="828"/>
        </w:trPr>
        <w:tc>
          <w:tcPr>
            <w:tcW w:w="1229"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i/>
                <w:color w:val="002060"/>
              </w:rPr>
              <w:t xml:space="preserve">  </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i/>
                <w:color w:val="002060"/>
              </w:rPr>
              <w:t xml:space="preserve">MTD </w:t>
            </w: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i/>
                <w:color w:val="002060"/>
              </w:rPr>
              <w:t xml:space="preserve">YTD </w:t>
            </w:r>
            <w:r>
              <w:t xml:space="preserve">  </w:t>
            </w:r>
          </w:p>
        </w:tc>
        <w:tc>
          <w:tcPr>
            <w:tcW w:w="1181"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i/>
                <w:color w:val="002060"/>
              </w:rPr>
              <w:t xml:space="preserve">ITD </w:t>
            </w:r>
            <w:r>
              <w:t xml:space="preserve">  </w:t>
            </w:r>
          </w:p>
        </w:tc>
        <w:tc>
          <w:tcPr>
            <w:tcW w:w="1049"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i/>
                <w:color w:val="002060"/>
              </w:rPr>
              <w:t xml:space="preserve">MTD </w:t>
            </w:r>
            <w:r>
              <w:t xml:space="preserve">  </w:t>
            </w:r>
          </w:p>
        </w:tc>
        <w:tc>
          <w:tcPr>
            <w:tcW w:w="1466"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i/>
                <w:color w:val="002060"/>
              </w:rPr>
              <w:t xml:space="preserve">YTD </w:t>
            </w:r>
            <w:r>
              <w:t xml:space="preserve">  </w:t>
            </w:r>
          </w:p>
        </w:tc>
        <w:tc>
          <w:tcPr>
            <w:tcW w:w="1143"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i/>
                <w:color w:val="002060"/>
              </w:rPr>
              <w:t xml:space="preserve">ITD </w:t>
            </w:r>
            <w:r>
              <w:t xml:space="preserve">  </w:t>
            </w:r>
          </w:p>
        </w:tc>
      </w:tr>
      <w:tr w:rsidR="00FC09F8">
        <w:trPr>
          <w:trHeight w:val="826"/>
        </w:trPr>
        <w:tc>
          <w:tcPr>
            <w:tcW w:w="1229"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 xml:space="preserve">Jan 2017 </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 xml:space="preserve">-1.42% </w:t>
            </w: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 xml:space="preserve">-1.42% </w:t>
            </w:r>
            <w:r>
              <w:t xml:space="preserve">  </w:t>
            </w:r>
          </w:p>
        </w:tc>
        <w:tc>
          <w:tcPr>
            <w:tcW w:w="1181"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 xml:space="preserve">+207.46% </w:t>
            </w:r>
            <w:r>
              <w:t xml:space="preserve">  </w:t>
            </w:r>
          </w:p>
        </w:tc>
        <w:tc>
          <w:tcPr>
            <w:tcW w:w="1049"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 xml:space="preserve">+1.79% </w:t>
            </w:r>
            <w:r>
              <w:t xml:space="preserve">  </w:t>
            </w:r>
          </w:p>
        </w:tc>
        <w:tc>
          <w:tcPr>
            <w:tcW w:w="1466"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 xml:space="preserve">+1.79% </w:t>
            </w:r>
            <w:r>
              <w:t xml:space="preserve">  </w:t>
            </w:r>
          </w:p>
        </w:tc>
        <w:tc>
          <w:tcPr>
            <w:tcW w:w="1143"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 xml:space="preserve">+91.29% </w:t>
            </w:r>
            <w:r>
              <w:t xml:space="preserve">  </w:t>
            </w:r>
          </w:p>
        </w:tc>
      </w:tr>
      <w:tr w:rsidR="00FC09F8">
        <w:trPr>
          <w:trHeight w:val="826"/>
        </w:trPr>
        <w:tc>
          <w:tcPr>
            <w:tcW w:w="1229"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 xml:space="preserve">Feb 2017 </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 xml:space="preserve">+1.63% </w:t>
            </w: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 xml:space="preserve">+0.13% </w:t>
            </w:r>
            <w:r>
              <w:t xml:space="preserve"> </w:t>
            </w:r>
          </w:p>
        </w:tc>
        <w:tc>
          <w:tcPr>
            <w:tcW w:w="1181"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 xml:space="preserve">+212.48% </w:t>
            </w:r>
            <w:r>
              <w:t xml:space="preserve"> </w:t>
            </w:r>
          </w:p>
        </w:tc>
        <w:tc>
          <w:tcPr>
            <w:tcW w:w="1049"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 xml:space="preserve">+3.72% </w:t>
            </w:r>
            <w:r>
              <w:t xml:space="preserve"> </w:t>
            </w:r>
          </w:p>
        </w:tc>
        <w:tc>
          <w:tcPr>
            <w:tcW w:w="1466"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 xml:space="preserve">+5.57% </w:t>
            </w:r>
            <w:r>
              <w:t xml:space="preserve"> </w:t>
            </w:r>
          </w:p>
        </w:tc>
        <w:tc>
          <w:tcPr>
            <w:tcW w:w="1143"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 xml:space="preserve">+98.40% </w:t>
            </w:r>
            <w:r>
              <w:t xml:space="preserve"> </w:t>
            </w:r>
          </w:p>
        </w:tc>
      </w:tr>
      <w:tr w:rsidR="00FC09F8">
        <w:trPr>
          <w:trHeight w:val="826"/>
        </w:trPr>
        <w:tc>
          <w:tcPr>
            <w:tcW w:w="1229"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 xml:space="preserve">Mar 2017 </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 xml:space="preserve">-0.67% </w:t>
            </w: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 xml:space="preserve">-0.54% </w:t>
            </w:r>
            <w:r>
              <w:t xml:space="preserve"> </w:t>
            </w:r>
          </w:p>
        </w:tc>
        <w:tc>
          <w:tcPr>
            <w:tcW w:w="1181"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 xml:space="preserve">+210.38% </w:t>
            </w:r>
            <w:r>
              <w:t xml:space="preserve"> </w:t>
            </w:r>
            <w:bookmarkStart w:id="0" w:name="_GoBack"/>
            <w:bookmarkEnd w:id="0"/>
          </w:p>
        </w:tc>
        <w:tc>
          <w:tcPr>
            <w:tcW w:w="1049"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 xml:space="preserve">-0.04% </w:t>
            </w:r>
            <w:r>
              <w:t xml:space="preserve"> </w:t>
            </w:r>
          </w:p>
        </w:tc>
        <w:tc>
          <w:tcPr>
            <w:tcW w:w="1466"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 xml:space="preserve">+5.53% </w:t>
            </w:r>
            <w:r>
              <w:t xml:space="preserve"> </w:t>
            </w:r>
          </w:p>
        </w:tc>
        <w:tc>
          <w:tcPr>
            <w:tcW w:w="1143"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 xml:space="preserve">+98.33% </w:t>
            </w:r>
            <w:r>
              <w:t xml:space="preserve"> </w:t>
            </w:r>
          </w:p>
        </w:tc>
      </w:tr>
      <w:tr w:rsidR="00FC09F8">
        <w:trPr>
          <w:trHeight w:val="829"/>
        </w:trPr>
        <w:tc>
          <w:tcPr>
            <w:tcW w:w="1229"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 xml:space="preserve">Apr 2017 </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 xml:space="preserve">+2.09% </w:t>
            </w: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 xml:space="preserve">+1.53% </w:t>
            </w:r>
            <w:r>
              <w:t xml:space="preserve"> </w:t>
            </w:r>
          </w:p>
        </w:tc>
        <w:tc>
          <w:tcPr>
            <w:tcW w:w="1181"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 xml:space="preserve">+216.85% </w:t>
            </w:r>
            <w:r>
              <w:t xml:space="preserve"> </w:t>
            </w:r>
          </w:p>
        </w:tc>
        <w:tc>
          <w:tcPr>
            <w:tcW w:w="1049"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 xml:space="preserve">+0.91% </w:t>
            </w:r>
            <w:r>
              <w:t xml:space="preserve"> </w:t>
            </w:r>
          </w:p>
        </w:tc>
        <w:tc>
          <w:tcPr>
            <w:tcW w:w="1466"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 xml:space="preserve">+6.49% </w:t>
            </w:r>
            <w:r>
              <w:t xml:space="preserve"> </w:t>
            </w:r>
          </w:p>
        </w:tc>
        <w:tc>
          <w:tcPr>
            <w:tcW w:w="1143"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 xml:space="preserve">+100.13% </w:t>
            </w:r>
          </w:p>
        </w:tc>
      </w:tr>
      <w:tr w:rsidR="00FC09F8">
        <w:trPr>
          <w:trHeight w:val="826"/>
        </w:trPr>
        <w:tc>
          <w:tcPr>
            <w:tcW w:w="1229"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 xml:space="preserve">May 2017 </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 xml:space="preserve">-1.16% </w:t>
            </w: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 xml:space="preserve">+0.35% </w:t>
            </w:r>
            <w:r>
              <w:t xml:space="preserve"> </w:t>
            </w:r>
          </w:p>
        </w:tc>
        <w:tc>
          <w:tcPr>
            <w:tcW w:w="1181"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 xml:space="preserve">+213.16% </w:t>
            </w:r>
            <w:r>
              <w:t xml:space="preserve"> </w:t>
            </w:r>
          </w:p>
        </w:tc>
        <w:tc>
          <w:tcPr>
            <w:tcW w:w="1049"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 xml:space="preserve">+1.16% </w:t>
            </w:r>
            <w:r>
              <w:t xml:space="preserve"> </w:t>
            </w:r>
          </w:p>
        </w:tc>
        <w:tc>
          <w:tcPr>
            <w:tcW w:w="1466"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 xml:space="preserve">+7.73% </w:t>
            </w:r>
            <w:r>
              <w:t xml:space="preserve"> </w:t>
            </w:r>
          </w:p>
        </w:tc>
        <w:tc>
          <w:tcPr>
            <w:tcW w:w="1143"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 xml:space="preserve">+102.45% </w:t>
            </w:r>
          </w:p>
        </w:tc>
      </w:tr>
      <w:tr w:rsidR="00FC09F8">
        <w:trPr>
          <w:trHeight w:val="828"/>
        </w:trPr>
        <w:tc>
          <w:tcPr>
            <w:tcW w:w="1229"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 xml:space="preserve">Jun 2017 </w:t>
            </w:r>
          </w:p>
        </w:tc>
        <w:tc>
          <w:tcPr>
            <w:tcW w:w="994"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 xml:space="preserve">+4.81% </w:t>
            </w:r>
          </w:p>
        </w:tc>
        <w:tc>
          <w:tcPr>
            <w:tcW w:w="1469"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 xml:space="preserve">+5.18% </w:t>
            </w:r>
          </w:p>
        </w:tc>
        <w:tc>
          <w:tcPr>
            <w:tcW w:w="1181"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 xml:space="preserve">+228.24% </w:t>
            </w:r>
          </w:p>
        </w:tc>
        <w:tc>
          <w:tcPr>
            <w:tcW w:w="1049"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 xml:space="preserve">+0.48% </w:t>
            </w:r>
          </w:p>
        </w:tc>
        <w:tc>
          <w:tcPr>
            <w:tcW w:w="1466"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 xml:space="preserve">+8.24% </w:t>
            </w:r>
          </w:p>
        </w:tc>
        <w:tc>
          <w:tcPr>
            <w:tcW w:w="1143"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 xml:space="preserve">+103.42% </w:t>
            </w:r>
          </w:p>
        </w:tc>
      </w:tr>
      <w:tr w:rsidR="00FC09F8">
        <w:trPr>
          <w:trHeight w:val="828"/>
        </w:trPr>
        <w:tc>
          <w:tcPr>
            <w:tcW w:w="1229"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 xml:space="preserve">July 2017 </w:t>
            </w:r>
          </w:p>
        </w:tc>
        <w:tc>
          <w:tcPr>
            <w:tcW w:w="994"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 xml:space="preserve">-0.62% </w:t>
            </w:r>
          </w:p>
        </w:tc>
        <w:tc>
          <w:tcPr>
            <w:tcW w:w="1469"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 xml:space="preserve">+4.53% </w:t>
            </w:r>
          </w:p>
        </w:tc>
        <w:tc>
          <w:tcPr>
            <w:tcW w:w="1181"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 xml:space="preserve">+226.20% </w:t>
            </w:r>
          </w:p>
        </w:tc>
        <w:tc>
          <w:tcPr>
            <w:tcW w:w="1049"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 xml:space="preserve">+1.93% </w:t>
            </w:r>
          </w:p>
        </w:tc>
        <w:tc>
          <w:tcPr>
            <w:tcW w:w="1466"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 xml:space="preserve">+10.34% </w:t>
            </w:r>
          </w:p>
        </w:tc>
        <w:tc>
          <w:tcPr>
            <w:tcW w:w="1143"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 xml:space="preserve">+107.36% </w:t>
            </w:r>
          </w:p>
        </w:tc>
      </w:tr>
      <w:tr w:rsidR="00FC09F8">
        <w:trPr>
          <w:trHeight w:val="828"/>
        </w:trPr>
        <w:tc>
          <w:tcPr>
            <w:tcW w:w="1229"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 xml:space="preserve">Aug 2017 </w:t>
            </w:r>
          </w:p>
        </w:tc>
        <w:tc>
          <w:tcPr>
            <w:tcW w:w="994"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 xml:space="preserve">+1.17% </w:t>
            </w:r>
          </w:p>
        </w:tc>
        <w:tc>
          <w:tcPr>
            <w:tcW w:w="1469"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 xml:space="preserve">+5.75% </w:t>
            </w:r>
          </w:p>
        </w:tc>
        <w:tc>
          <w:tcPr>
            <w:tcW w:w="1181"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 xml:space="preserve">+230.02% </w:t>
            </w:r>
          </w:p>
        </w:tc>
        <w:tc>
          <w:tcPr>
            <w:tcW w:w="1049"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 xml:space="preserve">+0.05% </w:t>
            </w:r>
          </w:p>
        </w:tc>
        <w:tc>
          <w:tcPr>
            <w:tcW w:w="1466"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 xml:space="preserve">+10.40% </w:t>
            </w:r>
          </w:p>
        </w:tc>
        <w:tc>
          <w:tcPr>
            <w:tcW w:w="1143"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 xml:space="preserve">+107.47% </w:t>
            </w:r>
          </w:p>
        </w:tc>
      </w:tr>
      <w:tr w:rsidR="00FC09F8">
        <w:trPr>
          <w:trHeight w:val="830"/>
        </w:trPr>
        <w:tc>
          <w:tcPr>
            <w:tcW w:w="1229"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lastRenderedPageBreak/>
              <w:t xml:space="preserve">Sep 2017 </w:t>
            </w:r>
          </w:p>
        </w:tc>
        <w:tc>
          <w:tcPr>
            <w:tcW w:w="994"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 xml:space="preserve">+7.30% </w:t>
            </w:r>
          </w:p>
        </w:tc>
        <w:tc>
          <w:tcPr>
            <w:tcW w:w="1469"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 xml:space="preserve">+13.47% </w:t>
            </w:r>
          </w:p>
        </w:tc>
        <w:tc>
          <w:tcPr>
            <w:tcW w:w="1181"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 xml:space="preserve">+254.09% </w:t>
            </w:r>
          </w:p>
        </w:tc>
        <w:tc>
          <w:tcPr>
            <w:tcW w:w="1049"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 xml:space="preserve">+1.93% </w:t>
            </w:r>
          </w:p>
        </w:tc>
        <w:tc>
          <w:tcPr>
            <w:tcW w:w="1466"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 xml:space="preserve">+12.53% </w:t>
            </w:r>
          </w:p>
        </w:tc>
        <w:tc>
          <w:tcPr>
            <w:tcW w:w="1143" w:type="dxa"/>
            <w:tcBorders>
              <w:top w:val="single" w:sz="4" w:space="0" w:color="000000"/>
              <w:left w:val="single" w:sz="4" w:space="0" w:color="000000"/>
              <w:bottom w:val="single" w:sz="4" w:space="0" w:color="000000"/>
              <w:right w:val="single" w:sz="4" w:space="0" w:color="000000"/>
            </w:tcBorders>
          </w:tcPr>
          <w:p w:rsidR="00FC09F8" w:rsidRDefault="009563D4" w:rsidP="009563D4">
            <w:pPr>
              <w:pStyle w:val="NoSpacing"/>
            </w:pPr>
            <w:r>
              <w:rPr>
                <w:b/>
                <w:color w:val="002060"/>
              </w:rPr>
              <w:t xml:space="preserve">+111.47% </w:t>
            </w:r>
          </w:p>
        </w:tc>
      </w:tr>
    </w:tbl>
    <w:p w:rsidR="00FC09F8" w:rsidRDefault="009563D4" w:rsidP="009563D4">
      <w:r>
        <w:rPr>
          <w:color w:val="002060"/>
          <w:sz w:val="24"/>
        </w:rPr>
        <w:t xml:space="preserve"> </w:t>
      </w:r>
      <w:r>
        <w:t xml:space="preserve">   </w:t>
      </w:r>
      <w:r>
        <w:rPr>
          <w:color w:val="002060"/>
          <w:sz w:val="24"/>
        </w:rPr>
        <w:t xml:space="preserve">  </w:t>
      </w:r>
    </w:p>
    <w:p w:rsidR="00FC09F8" w:rsidRDefault="009563D4">
      <w:pPr>
        <w:spacing w:after="216"/>
        <w:ind w:left="43"/>
      </w:pPr>
      <w:r>
        <w:rPr>
          <w:color w:val="002060"/>
          <w:sz w:val="24"/>
        </w:rPr>
        <w:t xml:space="preserve"> </w:t>
      </w:r>
    </w:p>
    <w:p w:rsidR="00FC09F8" w:rsidRDefault="009563D4">
      <w:pPr>
        <w:spacing w:after="217"/>
        <w:ind w:left="38" w:hanging="10"/>
      </w:pPr>
      <w:r>
        <w:rPr>
          <w:color w:val="002060"/>
          <w:sz w:val="24"/>
        </w:rPr>
        <w:t>In September, the S&amp;P rose by 1.93% and the Fund rose by 7.30%, moving ahead of the S&amp;P500 for the first time this year.  This was timely as a surge in sterling mitigated gains for sterling holders to 3.73%.  Nevertheless, both sterlin</w:t>
      </w:r>
      <w:r>
        <w:rPr>
          <w:color w:val="002060"/>
          <w:sz w:val="24"/>
        </w:rPr>
        <w:t xml:space="preserve">g and dollar prices finished at new highs.  As a small cap fund, it is pleasing to report we are again well ahead of all small cap indices year to date.   </w:t>
      </w:r>
    </w:p>
    <w:p w:rsidR="00FC09F8" w:rsidRDefault="009563D4">
      <w:pPr>
        <w:spacing w:after="214"/>
        <w:ind w:left="43"/>
      </w:pPr>
      <w:r>
        <w:rPr>
          <w:color w:val="002060"/>
          <w:sz w:val="24"/>
        </w:rPr>
        <w:t xml:space="preserve"> </w:t>
      </w:r>
    </w:p>
    <w:p w:rsidR="00FC09F8" w:rsidRDefault="009563D4">
      <w:pPr>
        <w:spacing w:after="217"/>
        <w:ind w:left="38" w:hanging="10"/>
      </w:pPr>
      <w:r>
        <w:rPr>
          <w:color w:val="002060"/>
          <w:sz w:val="24"/>
        </w:rPr>
        <w:t xml:space="preserve">September is the seasonally weakest month of the year, and the second half is the worst two weeks </w:t>
      </w:r>
      <w:r>
        <w:rPr>
          <w:color w:val="002060"/>
          <w:sz w:val="24"/>
        </w:rPr>
        <w:t>of the year.  There was characteristic nervousness this month, with steady and strong redemptions in US equity funds, yet this was manifested by a sell-off in tech, with the Nasdaq100 Index down 0.5% on the month.  The rotation into our types of stocks was</w:t>
      </w:r>
      <w:r>
        <w:rPr>
          <w:color w:val="002060"/>
          <w:sz w:val="24"/>
        </w:rPr>
        <w:t xml:space="preserve"> then accelerated by tax-cutting proposals in a return to the Trump trade.  The oscillating banks duly bounced from the bottom of their range to the top, but of more interest was the first strong rally of the year in our cyclicals.  The value component of </w:t>
      </w:r>
      <w:r>
        <w:rPr>
          <w:color w:val="002060"/>
          <w:sz w:val="24"/>
        </w:rPr>
        <w:t>the S&amp;P600, our nearest comparable index and the only one not making a high this year, finally surged past its December 9</w:t>
      </w:r>
      <w:r>
        <w:rPr>
          <w:color w:val="002060"/>
          <w:sz w:val="24"/>
          <w:vertAlign w:val="superscript"/>
        </w:rPr>
        <w:t>th</w:t>
      </w:r>
      <w:proofErr w:type="gramStart"/>
      <w:r>
        <w:rPr>
          <w:color w:val="002060"/>
          <w:sz w:val="24"/>
        </w:rPr>
        <w:t xml:space="preserve"> 2016</w:t>
      </w:r>
      <w:proofErr w:type="gramEnd"/>
      <w:r>
        <w:rPr>
          <w:color w:val="002060"/>
          <w:sz w:val="24"/>
        </w:rPr>
        <w:t xml:space="preserve"> high in the last few days.   </w:t>
      </w:r>
    </w:p>
    <w:p w:rsidR="00FC09F8" w:rsidRDefault="009563D4">
      <w:pPr>
        <w:spacing w:after="214"/>
        <w:ind w:left="43"/>
      </w:pPr>
      <w:r>
        <w:rPr>
          <w:color w:val="002060"/>
          <w:sz w:val="24"/>
        </w:rPr>
        <w:t xml:space="preserve"> </w:t>
      </w:r>
    </w:p>
    <w:p w:rsidR="00FC09F8" w:rsidRDefault="009563D4">
      <w:pPr>
        <w:spacing w:after="217"/>
        <w:ind w:left="38" w:hanging="10"/>
      </w:pPr>
      <w:r>
        <w:rPr>
          <w:color w:val="002060"/>
          <w:sz w:val="24"/>
        </w:rPr>
        <w:t xml:space="preserve">Value is the cheapest </w:t>
      </w:r>
      <w:r>
        <w:rPr>
          <w:color w:val="002060"/>
          <w:sz w:val="24"/>
        </w:rPr>
        <w:t>relative to growth since the 2000 top.  This has been true a while but it is now receiving publicity.  While this rotation is dependent on the political winds, there is also growing awareness of the risk in extended growth stocks.  September was not a repl</w:t>
      </w:r>
      <w:r>
        <w:rPr>
          <w:color w:val="002060"/>
          <w:sz w:val="24"/>
        </w:rPr>
        <w:t xml:space="preserve">ay of last November and we are looking for new relative strength in our sectors to lean into, which, on first sighting, is in consumer durables.  </w:t>
      </w:r>
      <w:r>
        <w:rPr>
          <w:b/>
          <w:color w:val="002060"/>
          <w:sz w:val="24"/>
        </w:rPr>
        <w:t xml:space="preserve"> </w:t>
      </w:r>
    </w:p>
    <w:p w:rsidR="00FC09F8" w:rsidRDefault="009563D4">
      <w:pPr>
        <w:spacing w:after="216"/>
        <w:ind w:left="43"/>
      </w:pPr>
      <w:r>
        <w:rPr>
          <w:color w:val="002060"/>
          <w:sz w:val="24"/>
        </w:rPr>
        <w:t xml:space="preserve"> </w:t>
      </w:r>
    </w:p>
    <w:p w:rsidR="00FC09F8" w:rsidRDefault="009563D4">
      <w:pPr>
        <w:spacing w:after="221"/>
        <w:ind w:left="14"/>
      </w:pPr>
      <w:r>
        <w:rPr>
          <w:color w:val="002060"/>
          <w:sz w:val="24"/>
        </w:rPr>
        <w:t xml:space="preserve"> </w:t>
      </w:r>
    </w:p>
    <w:p w:rsidR="00FC09F8" w:rsidRDefault="009563D4">
      <w:pPr>
        <w:spacing w:after="204"/>
        <w:ind w:left="14"/>
      </w:pPr>
      <w:r>
        <w:rPr>
          <w:color w:val="002060"/>
          <w:sz w:val="24"/>
        </w:rPr>
        <w:t xml:space="preserve"> </w:t>
      </w:r>
    </w:p>
    <w:p w:rsidR="00FC09F8" w:rsidRDefault="009563D4">
      <w:pPr>
        <w:spacing w:after="165"/>
        <w:ind w:left="14"/>
      </w:pPr>
      <w:r>
        <w:t xml:space="preserve"> </w:t>
      </w:r>
    </w:p>
    <w:p w:rsidR="00FC09F8" w:rsidRDefault="009563D4">
      <w:pPr>
        <w:spacing w:after="41" w:line="216" w:lineRule="auto"/>
        <w:ind w:left="-5" w:hanging="10"/>
      </w:pPr>
      <w:r>
        <w:rPr>
          <w:rFonts w:ascii="Arial" w:eastAsia="Arial" w:hAnsi="Arial" w:cs="Arial"/>
          <w:b/>
          <w:sz w:val="16"/>
        </w:rPr>
        <w:t xml:space="preserve">Risk Warnings and Other </w:t>
      </w:r>
      <w:proofErr w:type="gramStart"/>
      <w:r>
        <w:rPr>
          <w:rFonts w:ascii="Arial" w:eastAsia="Arial" w:hAnsi="Arial" w:cs="Arial"/>
          <w:b/>
          <w:sz w:val="16"/>
        </w:rPr>
        <w:t>Important Information</w:t>
      </w:r>
      <w:proofErr w:type="gramEnd"/>
      <w:r>
        <w:rPr>
          <w:rFonts w:ascii="Times New Roman" w:eastAsia="Times New Roman" w:hAnsi="Times New Roman" w:cs="Times New Roman"/>
          <w:sz w:val="16"/>
        </w:rPr>
        <w:t xml:space="preserve"> </w:t>
      </w:r>
      <w:r>
        <w:t xml:space="preserve">   </w:t>
      </w:r>
    </w:p>
    <w:p w:rsidR="00FC09F8" w:rsidRDefault="009563D4">
      <w:pPr>
        <w:spacing w:after="29" w:line="216" w:lineRule="auto"/>
        <w:ind w:left="5" w:hanging="10"/>
      </w:pPr>
      <w:r>
        <w:rPr>
          <w:rFonts w:ascii="Arial" w:eastAsia="Arial" w:hAnsi="Arial" w:cs="Arial"/>
          <w:sz w:val="16"/>
        </w:rPr>
        <w:t xml:space="preserve">This document is issued by De Lisle Partners LLP, registered in England </w:t>
      </w:r>
      <w:proofErr w:type="gramStart"/>
      <w:r>
        <w:rPr>
          <w:rFonts w:ascii="Arial" w:eastAsia="Arial" w:hAnsi="Arial" w:cs="Arial"/>
          <w:sz w:val="16"/>
        </w:rPr>
        <w:t>No.OC</w:t>
      </w:r>
      <w:proofErr w:type="gramEnd"/>
      <w:r>
        <w:rPr>
          <w:rFonts w:ascii="Arial" w:eastAsia="Arial" w:hAnsi="Arial" w:cs="Arial"/>
          <w:sz w:val="16"/>
        </w:rPr>
        <w:t xml:space="preserve">310994, authorized and regulated by the </w:t>
      </w:r>
      <w:r>
        <w:t xml:space="preserve">  </w:t>
      </w:r>
    </w:p>
    <w:p w:rsidR="00FC09F8" w:rsidRDefault="009563D4">
      <w:pPr>
        <w:spacing w:after="187" w:line="216" w:lineRule="auto"/>
        <w:ind w:left="5" w:hanging="10"/>
      </w:pPr>
      <w:r>
        <w:rPr>
          <w:rFonts w:ascii="Arial" w:eastAsia="Arial" w:hAnsi="Arial" w:cs="Arial"/>
          <w:sz w:val="16"/>
        </w:rPr>
        <w:t xml:space="preserve">Financial Conduct Authority. The registered office of </w:t>
      </w:r>
      <w:proofErr w:type="spellStart"/>
      <w:r>
        <w:rPr>
          <w:rFonts w:ascii="Arial" w:eastAsia="Arial" w:hAnsi="Arial" w:cs="Arial"/>
          <w:sz w:val="16"/>
        </w:rPr>
        <w:t>Valu-Trac</w:t>
      </w:r>
      <w:proofErr w:type="spellEnd"/>
      <w:r>
        <w:rPr>
          <w:rFonts w:ascii="Arial" w:eastAsia="Arial" w:hAnsi="Arial" w:cs="Arial"/>
          <w:sz w:val="16"/>
        </w:rPr>
        <w:t xml:space="preserve"> Investment Management Ltd is Suite 150-153, 2nd Floor Temple Chambers, T</w:t>
      </w:r>
      <w:r>
        <w:rPr>
          <w:rFonts w:ascii="Arial" w:eastAsia="Arial" w:hAnsi="Arial" w:cs="Arial"/>
          <w:sz w:val="16"/>
        </w:rPr>
        <w:t xml:space="preserve">emple Avenue, London, EC4Y 0DA, Head Office at Mains of Orton, Orton, </w:t>
      </w:r>
      <w:proofErr w:type="spellStart"/>
      <w:r>
        <w:rPr>
          <w:rFonts w:ascii="Arial" w:eastAsia="Arial" w:hAnsi="Arial" w:cs="Arial"/>
          <w:sz w:val="16"/>
        </w:rPr>
        <w:t>Fochabers</w:t>
      </w:r>
      <w:proofErr w:type="spellEnd"/>
      <w:r>
        <w:rPr>
          <w:rFonts w:ascii="Arial" w:eastAsia="Arial" w:hAnsi="Arial" w:cs="Arial"/>
          <w:sz w:val="16"/>
        </w:rPr>
        <w:t xml:space="preserve">, Moray, Scotland IV32 7QE. </w:t>
      </w:r>
      <w:r>
        <w:t xml:space="preserve">   </w:t>
      </w:r>
    </w:p>
    <w:p w:rsidR="00FC09F8" w:rsidRDefault="009563D4">
      <w:pPr>
        <w:spacing w:after="91" w:line="216" w:lineRule="auto"/>
        <w:ind w:left="5" w:hanging="10"/>
      </w:pPr>
      <w:r>
        <w:rPr>
          <w:rFonts w:ascii="Arial" w:eastAsia="Arial" w:hAnsi="Arial" w:cs="Arial"/>
          <w:sz w:val="16"/>
        </w:rPr>
        <w:t xml:space="preserve">The Fund qualifies as an Undertaking for Collective Investment in Transferable Securities (UCITSIII).  </w:t>
      </w:r>
      <w:r>
        <w:t xml:space="preserve">   </w:t>
      </w:r>
    </w:p>
    <w:p w:rsidR="00FC09F8" w:rsidRDefault="009563D4">
      <w:pPr>
        <w:spacing w:after="91" w:line="216" w:lineRule="auto"/>
        <w:ind w:left="5" w:hanging="10"/>
      </w:pPr>
      <w:r>
        <w:rPr>
          <w:rFonts w:ascii="Arial" w:eastAsia="Arial" w:hAnsi="Arial" w:cs="Arial"/>
          <w:sz w:val="16"/>
        </w:rPr>
        <w:lastRenderedPageBreak/>
        <w:t xml:space="preserve">This document should not be construed </w:t>
      </w:r>
      <w:r>
        <w:rPr>
          <w:rFonts w:ascii="Arial" w:eastAsia="Arial" w:hAnsi="Arial" w:cs="Arial"/>
          <w:sz w:val="16"/>
        </w:rPr>
        <w:t>as investment advice or an offer to invest in the Fund. Nor should its content be interpreted as investment or tax advice for which you should consult your independent financial adviser and/or accountant. The information and opinion it contains have been c</w:t>
      </w:r>
      <w:r>
        <w:rPr>
          <w:rFonts w:ascii="Arial" w:eastAsia="Arial" w:hAnsi="Arial" w:cs="Arial"/>
          <w:sz w:val="16"/>
        </w:rPr>
        <w:t>ompiled or arrived at from sources believed to be reliable at the time and are given in good faith, but no representation is made as to their accuracy, completeness or correctness. Any opinion expressed in this document represents the views of De Lisle Par</w:t>
      </w:r>
      <w:r>
        <w:rPr>
          <w:rFonts w:ascii="Arial" w:eastAsia="Arial" w:hAnsi="Arial" w:cs="Arial"/>
          <w:sz w:val="16"/>
        </w:rPr>
        <w:t xml:space="preserve">tners at the time of preparation, but is subject to change. For professional use only.  </w:t>
      </w:r>
      <w:r>
        <w:t xml:space="preserve">   </w:t>
      </w:r>
    </w:p>
    <w:p w:rsidR="00FC09F8" w:rsidRDefault="009563D4">
      <w:pPr>
        <w:spacing w:after="41" w:line="216" w:lineRule="auto"/>
        <w:ind w:left="-5" w:hanging="10"/>
      </w:pPr>
      <w:r>
        <w:rPr>
          <w:rFonts w:ascii="Arial" w:eastAsia="Arial" w:hAnsi="Arial" w:cs="Arial"/>
          <w:b/>
          <w:sz w:val="16"/>
        </w:rPr>
        <w:t xml:space="preserve">The value of an investment and the income from it can fall as well as rise </w:t>
      </w:r>
      <w:proofErr w:type="gramStart"/>
      <w:r>
        <w:rPr>
          <w:rFonts w:ascii="Arial" w:eastAsia="Arial" w:hAnsi="Arial" w:cs="Arial"/>
          <w:b/>
          <w:sz w:val="16"/>
        </w:rPr>
        <w:t>as a result of</w:t>
      </w:r>
      <w:proofErr w:type="gramEnd"/>
      <w:r>
        <w:rPr>
          <w:rFonts w:ascii="Arial" w:eastAsia="Arial" w:hAnsi="Arial" w:cs="Arial"/>
          <w:b/>
          <w:sz w:val="16"/>
        </w:rPr>
        <w:t xml:space="preserve"> market and currency fluctuations and you may not get back the amount origi</w:t>
      </w:r>
      <w:r>
        <w:rPr>
          <w:rFonts w:ascii="Arial" w:eastAsia="Arial" w:hAnsi="Arial" w:cs="Arial"/>
          <w:b/>
          <w:sz w:val="16"/>
        </w:rPr>
        <w:t>nally invested. Past performance should not be viewed as a guide to future performance. Please read the Prospectus before making an investment.</w:t>
      </w:r>
      <w:r>
        <w:rPr>
          <w:rFonts w:ascii="Arial" w:eastAsia="Arial" w:hAnsi="Arial" w:cs="Arial"/>
          <w:sz w:val="16"/>
        </w:rPr>
        <w:t xml:space="preserve"> </w:t>
      </w:r>
      <w:r>
        <w:t xml:space="preserve">   </w:t>
      </w:r>
    </w:p>
    <w:sectPr w:rsidR="00FC09F8">
      <w:pgSz w:w="11906" w:h="16838"/>
      <w:pgMar w:top="1543" w:right="1510" w:bottom="2094" w:left="13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F8"/>
    <w:rsid w:val="009563D4"/>
    <w:rsid w:val="00FC0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317A5D-AE2E-4936-A9E8-B6899252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9563D4"/>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de Lisle</dc:creator>
  <cp:keywords/>
  <cp:lastModifiedBy>Sarah de Lisle</cp:lastModifiedBy>
  <cp:revision>2</cp:revision>
  <dcterms:created xsi:type="dcterms:W3CDTF">2017-10-02T19:46:00Z</dcterms:created>
  <dcterms:modified xsi:type="dcterms:W3CDTF">2017-10-02T19:46:00Z</dcterms:modified>
</cp:coreProperties>
</file>