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63A61" w14:textId="3D135C22" w:rsidR="008B3CFD" w:rsidRDefault="006F3513">
      <w:pPr>
        <w:spacing w:after="0"/>
        <w:ind w:left="4069"/>
      </w:pPr>
      <w:r>
        <w:rPr>
          <w:b/>
          <w:color w:val="002060"/>
          <w:sz w:val="24"/>
        </w:rPr>
        <w:t>February</w:t>
      </w:r>
      <w:r w:rsidR="00B90E21">
        <w:rPr>
          <w:b/>
          <w:color w:val="002060"/>
          <w:sz w:val="24"/>
        </w:rPr>
        <w:t xml:space="preserve"> 2019</w:t>
      </w:r>
    </w:p>
    <w:p w14:paraId="2A8A8EB4" w14:textId="77777777" w:rsidR="008B3CFD" w:rsidRDefault="00532F44">
      <w:pPr>
        <w:spacing w:after="0"/>
        <w:ind w:left="177"/>
        <w:jc w:val="center"/>
      </w:pPr>
      <w:r>
        <w:t xml:space="preserve"> </w:t>
      </w:r>
    </w:p>
    <w:tbl>
      <w:tblPr>
        <w:tblStyle w:val="TableGrid"/>
        <w:tblW w:w="8529" w:type="dxa"/>
        <w:tblInd w:w="43" w:type="dxa"/>
        <w:tblCellMar>
          <w:top w:w="139" w:type="dxa"/>
          <w:left w:w="108" w:type="dxa"/>
          <w:right w:w="24" w:type="dxa"/>
        </w:tblCellMar>
        <w:tblLook w:val="04A0" w:firstRow="1" w:lastRow="0" w:firstColumn="1" w:lastColumn="0" w:noHBand="0" w:noVBand="1"/>
      </w:tblPr>
      <w:tblGrid>
        <w:gridCol w:w="1229"/>
        <w:gridCol w:w="994"/>
        <w:gridCol w:w="1469"/>
        <w:gridCol w:w="1181"/>
        <w:gridCol w:w="1047"/>
        <w:gridCol w:w="1466"/>
        <w:gridCol w:w="1143"/>
      </w:tblGrid>
      <w:tr w:rsidR="008B3CFD" w14:paraId="7765C008" w14:textId="77777777">
        <w:trPr>
          <w:trHeight w:val="984"/>
        </w:trPr>
        <w:tc>
          <w:tcPr>
            <w:tcW w:w="1229" w:type="dxa"/>
            <w:tcBorders>
              <w:top w:val="single" w:sz="4" w:space="0" w:color="000000"/>
              <w:left w:val="single" w:sz="4" w:space="0" w:color="000000"/>
              <w:bottom w:val="single" w:sz="4" w:space="0" w:color="000000"/>
              <w:right w:val="single" w:sz="4" w:space="0" w:color="000000"/>
            </w:tcBorders>
          </w:tcPr>
          <w:p w14:paraId="209165C9" w14:textId="77777777" w:rsidR="008B3CFD" w:rsidRDefault="00532F44">
            <w:pPr>
              <w:ind w:left="38"/>
            </w:pPr>
            <w:r>
              <w:rPr>
                <w:b/>
                <w:color w:val="002060"/>
              </w:rPr>
              <w:t xml:space="preserve"> </w:t>
            </w: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4FA940F" w14:textId="77777777" w:rsidR="008B3CFD" w:rsidRDefault="00532F44">
            <w:pPr>
              <w:ind w:left="113"/>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1C0EB43B" w14:textId="77777777" w:rsidR="008B3CFD" w:rsidRDefault="00532F44">
            <w:pPr>
              <w:ind w:right="89"/>
              <w:jc w:val="center"/>
            </w:pPr>
            <w:r>
              <w:rPr>
                <w:b/>
                <w:color w:val="002060"/>
              </w:rPr>
              <w:t>Fund</w:t>
            </w:r>
            <w:r>
              <w:t xml:space="preserve">  </w:t>
            </w:r>
          </w:p>
        </w:tc>
        <w:tc>
          <w:tcPr>
            <w:tcW w:w="1181" w:type="dxa"/>
            <w:tcBorders>
              <w:top w:val="single" w:sz="4" w:space="0" w:color="000000"/>
              <w:left w:val="single" w:sz="4" w:space="0" w:color="000000"/>
              <w:bottom w:val="single" w:sz="4" w:space="0" w:color="000000"/>
              <w:right w:val="single" w:sz="4" w:space="0" w:color="000000"/>
            </w:tcBorders>
          </w:tcPr>
          <w:p w14:paraId="7B24F86C" w14:textId="77777777" w:rsidR="008B3CFD" w:rsidRDefault="00532F44">
            <w:pPr>
              <w:ind w:left="113"/>
              <w:jc w:val="center"/>
            </w:pPr>
            <w: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545B41E4" w14:textId="77777777" w:rsidR="008B3CFD" w:rsidRDefault="00532F44">
            <w:pPr>
              <w:ind w:left="118"/>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4BFBAF01" w14:textId="77777777" w:rsidR="008B3CFD" w:rsidRDefault="00532F44">
            <w:pPr>
              <w:ind w:right="41"/>
              <w:jc w:val="center"/>
            </w:pPr>
            <w:r>
              <w:rPr>
                <w:b/>
                <w:color w:val="002060"/>
              </w:rPr>
              <w:t>S&amp;P500</w:t>
            </w:r>
            <w:r>
              <w:t xml:space="preserve"> </w:t>
            </w:r>
          </w:p>
          <w:p w14:paraId="117597C7" w14:textId="77777777" w:rsidR="008B3CFD" w:rsidRDefault="00532F44">
            <w:pPr>
              <w:ind w:right="40"/>
              <w:jc w:val="center"/>
            </w:pPr>
            <w:r>
              <w:rPr>
                <w:b/>
                <w:color w:val="002060"/>
              </w:rPr>
              <w:t>Index</w:t>
            </w: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674C5BAC" w14:textId="77777777" w:rsidR="008B3CFD" w:rsidRDefault="00532F44">
            <w:pPr>
              <w:ind w:left="113"/>
              <w:jc w:val="center"/>
            </w:pPr>
            <w:r>
              <w:t xml:space="preserve">  </w:t>
            </w:r>
          </w:p>
        </w:tc>
      </w:tr>
      <w:tr w:rsidR="008B3CFD" w14:paraId="05C7FCB3" w14:textId="77777777">
        <w:trPr>
          <w:trHeight w:val="984"/>
        </w:trPr>
        <w:tc>
          <w:tcPr>
            <w:tcW w:w="1229" w:type="dxa"/>
            <w:tcBorders>
              <w:top w:val="single" w:sz="4" w:space="0" w:color="000000"/>
              <w:left w:val="single" w:sz="4" w:space="0" w:color="000000"/>
              <w:bottom w:val="single" w:sz="4" w:space="0" w:color="000000"/>
              <w:right w:val="single" w:sz="4" w:space="0" w:color="000000"/>
            </w:tcBorders>
          </w:tcPr>
          <w:p w14:paraId="1584D7FD" w14:textId="77777777" w:rsidR="008B3CFD" w:rsidRDefault="00532F44">
            <w:pPr>
              <w:ind w:left="38"/>
            </w:pPr>
            <w:r>
              <w:rPr>
                <w:i/>
                <w:color w:val="002060"/>
              </w:rPr>
              <w:t xml:space="preserve"> </w:t>
            </w: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45EB9BD" w14:textId="77777777" w:rsidR="008B3CFD" w:rsidRDefault="00532F44">
            <w:pPr>
              <w:ind w:left="74"/>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61083D4F" w14:textId="77777777" w:rsidR="008B3CFD" w:rsidRDefault="00532F44">
            <w:pPr>
              <w:ind w:left="82"/>
            </w:pPr>
            <w:r>
              <w:rPr>
                <w:i/>
                <w:color w:val="002060"/>
              </w:rPr>
              <w:t>Performance</w:t>
            </w:r>
            <w:r>
              <w:t xml:space="preserve">  </w:t>
            </w:r>
          </w:p>
        </w:tc>
        <w:tc>
          <w:tcPr>
            <w:tcW w:w="1181" w:type="dxa"/>
            <w:tcBorders>
              <w:top w:val="single" w:sz="4" w:space="0" w:color="000000"/>
              <w:left w:val="single" w:sz="4" w:space="0" w:color="000000"/>
              <w:bottom w:val="single" w:sz="4" w:space="0" w:color="000000"/>
              <w:right w:val="single" w:sz="4" w:space="0" w:color="000000"/>
            </w:tcBorders>
          </w:tcPr>
          <w:p w14:paraId="1424DBA4" w14:textId="77777777" w:rsidR="008B3CFD" w:rsidRDefault="00532F44">
            <w:pPr>
              <w:jc w:val="center"/>
            </w:pPr>
            <w:r>
              <w:rPr>
                <w:i/>
                <w:color w:val="002060"/>
              </w:rPr>
              <w:t>Inception to Date</w:t>
            </w:r>
            <w: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650AD12E" w14:textId="77777777" w:rsidR="008B3CFD" w:rsidRDefault="00532F44">
            <w:pPr>
              <w:ind w:left="118"/>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6B07D129" w14:textId="77777777" w:rsidR="008B3CFD" w:rsidRDefault="00532F44">
            <w:pPr>
              <w:ind w:left="79"/>
            </w:pPr>
            <w:r>
              <w:rPr>
                <w:i/>
                <w:color w:val="002060"/>
              </w:rPr>
              <w:t>Performance</w:t>
            </w: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25F010FA" w14:textId="77777777" w:rsidR="008B3CFD" w:rsidRDefault="00532F44">
            <w:pPr>
              <w:jc w:val="center"/>
            </w:pPr>
            <w:r>
              <w:rPr>
                <w:i/>
                <w:color w:val="002060"/>
              </w:rPr>
              <w:t>Inception to Date</w:t>
            </w:r>
            <w:r>
              <w:t xml:space="preserve">  </w:t>
            </w:r>
          </w:p>
        </w:tc>
      </w:tr>
      <w:tr w:rsidR="008B3CFD" w14:paraId="135457F5" w14:textId="77777777">
        <w:trPr>
          <w:trHeight w:val="677"/>
        </w:trPr>
        <w:tc>
          <w:tcPr>
            <w:tcW w:w="1229" w:type="dxa"/>
            <w:tcBorders>
              <w:top w:val="single" w:sz="4" w:space="0" w:color="000000"/>
              <w:left w:val="single" w:sz="4" w:space="0" w:color="000000"/>
              <w:bottom w:val="single" w:sz="4" w:space="0" w:color="000000"/>
              <w:right w:val="single" w:sz="4" w:space="0" w:color="000000"/>
            </w:tcBorders>
          </w:tcPr>
          <w:p w14:paraId="64360324" w14:textId="77777777" w:rsidR="008B3CFD" w:rsidRDefault="00532F44">
            <w:r>
              <w:rPr>
                <w:b/>
                <w:color w:val="002060"/>
              </w:rPr>
              <w:t>2005</w:t>
            </w: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7236B0D" w14:textId="77777777" w:rsidR="008B3CFD" w:rsidRDefault="00532F44">
            <w:pPr>
              <w:ind w:left="74"/>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74CE8592" w14:textId="77777777" w:rsidR="008B3CFD" w:rsidRDefault="00532F44">
            <w:pPr>
              <w:ind w:right="74"/>
              <w:jc w:val="center"/>
            </w:pPr>
            <w:r>
              <w:rPr>
                <w:b/>
                <w:color w:val="002060"/>
              </w:rPr>
              <w:t>+14.01%</w:t>
            </w:r>
            <w:r>
              <w:t xml:space="preserve">  </w:t>
            </w:r>
          </w:p>
        </w:tc>
        <w:tc>
          <w:tcPr>
            <w:tcW w:w="1181" w:type="dxa"/>
            <w:tcBorders>
              <w:top w:val="single" w:sz="4" w:space="0" w:color="000000"/>
              <w:left w:val="single" w:sz="4" w:space="0" w:color="000000"/>
              <w:bottom w:val="single" w:sz="4" w:space="0" w:color="000000"/>
              <w:right w:val="single" w:sz="4" w:space="0" w:color="000000"/>
            </w:tcBorders>
          </w:tcPr>
          <w:p w14:paraId="31E7268E" w14:textId="77777777" w:rsidR="008B3CFD" w:rsidRDefault="00532F44">
            <w:pPr>
              <w:ind w:right="74"/>
              <w:jc w:val="center"/>
            </w:pPr>
            <w:r>
              <w:rPr>
                <w:b/>
                <w:color w:val="002060"/>
              </w:rPr>
              <w:t>+14.01%</w:t>
            </w:r>
            <w: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0BBEDA73" w14:textId="77777777" w:rsidR="008B3CFD" w:rsidRDefault="00532F44">
            <w:pPr>
              <w:ind w:left="75"/>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33CF1E7B" w14:textId="77777777" w:rsidR="008B3CFD" w:rsidRDefault="00532F44">
            <w:pPr>
              <w:ind w:right="74"/>
              <w:jc w:val="center"/>
            </w:pPr>
            <w:r>
              <w:rPr>
                <w:b/>
                <w:color w:val="002060"/>
              </w:rPr>
              <w:t>+4.78%</w:t>
            </w: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2BD13112" w14:textId="77777777" w:rsidR="008B3CFD" w:rsidRDefault="00532F44">
            <w:pPr>
              <w:ind w:right="72"/>
              <w:jc w:val="center"/>
            </w:pPr>
            <w:r>
              <w:rPr>
                <w:b/>
                <w:color w:val="002060"/>
              </w:rPr>
              <w:t>+4.78%</w:t>
            </w:r>
            <w:r>
              <w:t xml:space="preserve">  </w:t>
            </w:r>
          </w:p>
        </w:tc>
      </w:tr>
      <w:tr w:rsidR="008B3CFD" w14:paraId="4454C445" w14:textId="77777777">
        <w:trPr>
          <w:trHeight w:val="675"/>
        </w:trPr>
        <w:tc>
          <w:tcPr>
            <w:tcW w:w="1229" w:type="dxa"/>
            <w:tcBorders>
              <w:top w:val="single" w:sz="4" w:space="0" w:color="000000"/>
              <w:left w:val="single" w:sz="4" w:space="0" w:color="000000"/>
              <w:bottom w:val="single" w:sz="4" w:space="0" w:color="000000"/>
              <w:right w:val="single" w:sz="4" w:space="0" w:color="000000"/>
            </w:tcBorders>
          </w:tcPr>
          <w:p w14:paraId="25BF125F" w14:textId="77777777" w:rsidR="008B3CFD" w:rsidRDefault="00532F44">
            <w:r>
              <w:rPr>
                <w:b/>
                <w:color w:val="002060"/>
              </w:rPr>
              <w:t>2006</w:t>
            </w: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E307B1D" w14:textId="77777777" w:rsidR="008B3CFD" w:rsidRDefault="00532F44">
            <w:pPr>
              <w:ind w:left="74"/>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14EFCEA5" w14:textId="77777777" w:rsidR="008B3CFD" w:rsidRDefault="00532F44">
            <w:pPr>
              <w:ind w:right="74"/>
              <w:jc w:val="center"/>
            </w:pPr>
            <w:r>
              <w:rPr>
                <w:b/>
                <w:color w:val="002060"/>
              </w:rPr>
              <w:t>+16.91%</w:t>
            </w:r>
            <w:r>
              <w:t xml:space="preserve">  </w:t>
            </w:r>
          </w:p>
        </w:tc>
        <w:tc>
          <w:tcPr>
            <w:tcW w:w="1181" w:type="dxa"/>
            <w:tcBorders>
              <w:top w:val="single" w:sz="4" w:space="0" w:color="000000"/>
              <w:left w:val="single" w:sz="4" w:space="0" w:color="000000"/>
              <w:bottom w:val="single" w:sz="4" w:space="0" w:color="000000"/>
              <w:right w:val="single" w:sz="4" w:space="0" w:color="000000"/>
            </w:tcBorders>
          </w:tcPr>
          <w:p w14:paraId="4ED751E1" w14:textId="77777777" w:rsidR="008B3CFD" w:rsidRDefault="00532F44">
            <w:pPr>
              <w:ind w:right="74"/>
              <w:jc w:val="center"/>
            </w:pPr>
            <w:r>
              <w:rPr>
                <w:b/>
                <w:color w:val="002060"/>
              </w:rPr>
              <w:t>+33.29%</w:t>
            </w:r>
            <w: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356CF896" w14:textId="77777777" w:rsidR="008B3CFD" w:rsidRDefault="00532F44">
            <w:pPr>
              <w:ind w:left="75"/>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30894FC9" w14:textId="77777777" w:rsidR="008B3CFD" w:rsidRDefault="00532F44">
            <w:pPr>
              <w:ind w:right="81"/>
              <w:jc w:val="center"/>
            </w:pPr>
            <w:r>
              <w:rPr>
                <w:b/>
                <w:color w:val="002060"/>
              </w:rPr>
              <w:t>+13.62%</w:t>
            </w: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1EC69BD4" w14:textId="77777777" w:rsidR="008B3CFD" w:rsidRDefault="00532F44">
            <w:pPr>
              <w:ind w:left="70"/>
            </w:pPr>
            <w:r>
              <w:rPr>
                <w:b/>
                <w:color w:val="002060"/>
              </w:rPr>
              <w:t>+19.05%</w:t>
            </w:r>
            <w:r>
              <w:t xml:space="preserve">  </w:t>
            </w:r>
          </w:p>
        </w:tc>
      </w:tr>
      <w:tr w:rsidR="008B3CFD" w14:paraId="67C437A4" w14:textId="77777777">
        <w:trPr>
          <w:trHeight w:val="677"/>
        </w:trPr>
        <w:tc>
          <w:tcPr>
            <w:tcW w:w="1229" w:type="dxa"/>
            <w:tcBorders>
              <w:top w:val="single" w:sz="4" w:space="0" w:color="000000"/>
              <w:left w:val="single" w:sz="4" w:space="0" w:color="000000"/>
              <w:bottom w:val="single" w:sz="4" w:space="0" w:color="000000"/>
              <w:right w:val="single" w:sz="4" w:space="0" w:color="000000"/>
            </w:tcBorders>
          </w:tcPr>
          <w:p w14:paraId="02FA6403" w14:textId="77777777" w:rsidR="008B3CFD" w:rsidRDefault="00532F44">
            <w:r>
              <w:rPr>
                <w:b/>
                <w:color w:val="002060"/>
              </w:rPr>
              <w:t>2007</w:t>
            </w: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5ADB6B81" w14:textId="77777777" w:rsidR="008B3CFD" w:rsidRDefault="00532F44">
            <w:pPr>
              <w:ind w:left="74"/>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2EB81859" w14:textId="77777777" w:rsidR="008B3CFD" w:rsidRDefault="00532F44">
            <w:pPr>
              <w:ind w:right="71"/>
              <w:jc w:val="center"/>
            </w:pPr>
            <w:r>
              <w:rPr>
                <w:b/>
                <w:color w:val="002060"/>
              </w:rPr>
              <w:t>+4.06%</w:t>
            </w:r>
            <w:r>
              <w:t xml:space="preserve">  </w:t>
            </w:r>
          </w:p>
        </w:tc>
        <w:tc>
          <w:tcPr>
            <w:tcW w:w="1181" w:type="dxa"/>
            <w:tcBorders>
              <w:top w:val="single" w:sz="4" w:space="0" w:color="000000"/>
              <w:left w:val="single" w:sz="4" w:space="0" w:color="000000"/>
              <w:bottom w:val="single" w:sz="4" w:space="0" w:color="000000"/>
              <w:right w:val="single" w:sz="4" w:space="0" w:color="000000"/>
            </w:tcBorders>
          </w:tcPr>
          <w:p w14:paraId="678AC8B3" w14:textId="77777777" w:rsidR="008B3CFD" w:rsidRDefault="00532F44">
            <w:pPr>
              <w:ind w:right="74"/>
              <w:jc w:val="center"/>
            </w:pPr>
            <w:r>
              <w:rPr>
                <w:b/>
                <w:color w:val="002060"/>
              </w:rPr>
              <w:t>+38.70%</w:t>
            </w:r>
            <w: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524267F9" w14:textId="77777777" w:rsidR="008B3CFD" w:rsidRDefault="00532F44">
            <w:pPr>
              <w:ind w:left="75"/>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589B9957" w14:textId="77777777" w:rsidR="008B3CFD" w:rsidRDefault="00532F44">
            <w:pPr>
              <w:ind w:right="74"/>
              <w:jc w:val="center"/>
            </w:pPr>
            <w:r>
              <w:rPr>
                <w:b/>
                <w:color w:val="002060"/>
              </w:rPr>
              <w:t>+3.53%</w:t>
            </w: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64568F4C" w14:textId="77777777" w:rsidR="008B3CFD" w:rsidRDefault="00532F44">
            <w:pPr>
              <w:ind w:left="70"/>
            </w:pPr>
            <w:r>
              <w:rPr>
                <w:b/>
                <w:color w:val="002060"/>
              </w:rPr>
              <w:t>+23.25%</w:t>
            </w:r>
            <w:r>
              <w:t xml:space="preserve">  </w:t>
            </w:r>
          </w:p>
        </w:tc>
      </w:tr>
      <w:tr w:rsidR="008B3CFD" w14:paraId="6985B43F" w14:textId="77777777">
        <w:trPr>
          <w:trHeight w:val="677"/>
        </w:trPr>
        <w:tc>
          <w:tcPr>
            <w:tcW w:w="1229" w:type="dxa"/>
            <w:tcBorders>
              <w:top w:val="single" w:sz="4" w:space="0" w:color="000000"/>
              <w:left w:val="single" w:sz="4" w:space="0" w:color="000000"/>
              <w:bottom w:val="single" w:sz="4" w:space="0" w:color="000000"/>
              <w:right w:val="single" w:sz="4" w:space="0" w:color="000000"/>
            </w:tcBorders>
          </w:tcPr>
          <w:p w14:paraId="6D977108" w14:textId="77777777" w:rsidR="008B3CFD" w:rsidRDefault="00532F44">
            <w:r>
              <w:rPr>
                <w:b/>
                <w:color w:val="002060"/>
              </w:rPr>
              <w:t>2008</w:t>
            </w: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65D833AB" w14:textId="77777777" w:rsidR="008B3CFD" w:rsidRDefault="00532F44">
            <w:pPr>
              <w:ind w:left="74"/>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32431963" w14:textId="77777777" w:rsidR="008B3CFD" w:rsidRDefault="00532F44">
            <w:pPr>
              <w:ind w:right="74"/>
              <w:jc w:val="center"/>
            </w:pPr>
            <w:r>
              <w:rPr>
                <w:b/>
                <w:color w:val="002060"/>
              </w:rPr>
              <w:t>-47.99%</w:t>
            </w:r>
            <w:r>
              <w:t xml:space="preserve">  </w:t>
            </w:r>
          </w:p>
        </w:tc>
        <w:tc>
          <w:tcPr>
            <w:tcW w:w="1181" w:type="dxa"/>
            <w:tcBorders>
              <w:top w:val="single" w:sz="4" w:space="0" w:color="000000"/>
              <w:left w:val="single" w:sz="4" w:space="0" w:color="000000"/>
              <w:bottom w:val="single" w:sz="4" w:space="0" w:color="000000"/>
              <w:right w:val="single" w:sz="4" w:space="0" w:color="000000"/>
            </w:tcBorders>
          </w:tcPr>
          <w:p w14:paraId="5331C4E1" w14:textId="77777777" w:rsidR="008B3CFD" w:rsidRDefault="00532F44">
            <w:pPr>
              <w:ind w:right="79"/>
              <w:jc w:val="center"/>
            </w:pPr>
            <w:r>
              <w:rPr>
                <w:b/>
                <w:color w:val="002060"/>
              </w:rPr>
              <w:t>-27.86%</w:t>
            </w:r>
            <w: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375AC461" w14:textId="77777777" w:rsidR="008B3CFD" w:rsidRDefault="00532F44">
            <w:pPr>
              <w:ind w:left="75"/>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302C9282" w14:textId="77777777" w:rsidR="008B3CFD" w:rsidRDefault="00532F44">
            <w:pPr>
              <w:ind w:right="81"/>
              <w:jc w:val="center"/>
            </w:pPr>
            <w:r>
              <w:rPr>
                <w:b/>
                <w:color w:val="002060"/>
              </w:rPr>
              <w:t>-38.49%</w:t>
            </w: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38FD53D4" w14:textId="77777777" w:rsidR="008B3CFD" w:rsidRDefault="00532F44">
            <w:pPr>
              <w:ind w:right="75"/>
              <w:jc w:val="center"/>
            </w:pPr>
            <w:r>
              <w:rPr>
                <w:b/>
                <w:color w:val="002060"/>
              </w:rPr>
              <w:t>-24.18%</w:t>
            </w:r>
            <w:r>
              <w:t xml:space="preserve">  </w:t>
            </w:r>
          </w:p>
        </w:tc>
      </w:tr>
      <w:tr w:rsidR="008B3CFD" w14:paraId="1AFEC87C" w14:textId="77777777">
        <w:trPr>
          <w:trHeight w:val="674"/>
        </w:trPr>
        <w:tc>
          <w:tcPr>
            <w:tcW w:w="1229" w:type="dxa"/>
            <w:tcBorders>
              <w:top w:val="single" w:sz="4" w:space="0" w:color="000000"/>
              <w:left w:val="single" w:sz="4" w:space="0" w:color="000000"/>
              <w:bottom w:val="single" w:sz="4" w:space="0" w:color="000000"/>
              <w:right w:val="single" w:sz="4" w:space="0" w:color="000000"/>
            </w:tcBorders>
          </w:tcPr>
          <w:p w14:paraId="4960B29F" w14:textId="77777777" w:rsidR="008B3CFD" w:rsidRDefault="00532F44">
            <w:r>
              <w:rPr>
                <w:b/>
                <w:color w:val="002060"/>
              </w:rPr>
              <w:t>2009</w:t>
            </w: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1DB16085" w14:textId="77777777" w:rsidR="008B3CFD" w:rsidRDefault="00532F44">
            <w:pPr>
              <w:ind w:left="74"/>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38D0913A" w14:textId="77777777" w:rsidR="008B3CFD" w:rsidRDefault="00532F44">
            <w:pPr>
              <w:ind w:right="74"/>
              <w:jc w:val="center"/>
            </w:pPr>
            <w:r>
              <w:rPr>
                <w:b/>
                <w:color w:val="002060"/>
              </w:rPr>
              <w:t>+42.74%</w:t>
            </w:r>
            <w:r>
              <w:t xml:space="preserve">  </w:t>
            </w:r>
          </w:p>
        </w:tc>
        <w:tc>
          <w:tcPr>
            <w:tcW w:w="1181" w:type="dxa"/>
            <w:tcBorders>
              <w:top w:val="single" w:sz="4" w:space="0" w:color="000000"/>
              <w:left w:val="single" w:sz="4" w:space="0" w:color="000000"/>
              <w:bottom w:val="single" w:sz="4" w:space="0" w:color="000000"/>
              <w:right w:val="single" w:sz="4" w:space="0" w:color="000000"/>
            </w:tcBorders>
          </w:tcPr>
          <w:p w14:paraId="34603FC7" w14:textId="77777777" w:rsidR="008B3CFD" w:rsidRDefault="00532F44">
            <w:pPr>
              <w:ind w:right="72"/>
              <w:jc w:val="center"/>
            </w:pPr>
            <w:r>
              <w:rPr>
                <w:b/>
                <w:color w:val="002060"/>
              </w:rPr>
              <w:t>+2.97%</w:t>
            </w:r>
            <w: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6B7B89BC" w14:textId="77777777" w:rsidR="008B3CFD" w:rsidRDefault="00532F44">
            <w:pPr>
              <w:ind w:left="75"/>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7D5FE655" w14:textId="77777777" w:rsidR="008B3CFD" w:rsidRDefault="00532F44">
            <w:pPr>
              <w:ind w:right="81"/>
              <w:jc w:val="center"/>
            </w:pPr>
            <w:r>
              <w:rPr>
                <w:b/>
                <w:color w:val="002060"/>
              </w:rPr>
              <w:t>+23.45%</w:t>
            </w: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63144097" w14:textId="77777777" w:rsidR="008B3CFD" w:rsidRDefault="00532F44">
            <w:pPr>
              <w:ind w:right="75"/>
              <w:jc w:val="center"/>
            </w:pPr>
            <w:r>
              <w:rPr>
                <w:b/>
                <w:color w:val="002060"/>
              </w:rPr>
              <w:t>-6.40%</w:t>
            </w:r>
            <w:r>
              <w:t xml:space="preserve">  </w:t>
            </w:r>
          </w:p>
        </w:tc>
      </w:tr>
      <w:tr w:rsidR="008B3CFD" w14:paraId="51B7D95F" w14:textId="77777777">
        <w:trPr>
          <w:trHeight w:val="677"/>
        </w:trPr>
        <w:tc>
          <w:tcPr>
            <w:tcW w:w="1229" w:type="dxa"/>
            <w:tcBorders>
              <w:top w:val="single" w:sz="4" w:space="0" w:color="000000"/>
              <w:left w:val="single" w:sz="4" w:space="0" w:color="000000"/>
              <w:bottom w:val="single" w:sz="4" w:space="0" w:color="000000"/>
              <w:right w:val="single" w:sz="4" w:space="0" w:color="000000"/>
            </w:tcBorders>
          </w:tcPr>
          <w:p w14:paraId="3B5DF88A" w14:textId="77777777" w:rsidR="008B3CFD" w:rsidRDefault="00532F44">
            <w:r>
              <w:rPr>
                <w:b/>
                <w:color w:val="002060"/>
              </w:rPr>
              <w:t>2010</w:t>
            </w: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1F14A884" w14:textId="77777777" w:rsidR="008B3CFD" w:rsidRDefault="00532F44">
            <w:pPr>
              <w:ind w:left="74"/>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76919662" w14:textId="77777777" w:rsidR="008B3CFD" w:rsidRDefault="00532F44">
            <w:pPr>
              <w:ind w:right="74"/>
              <w:jc w:val="center"/>
            </w:pPr>
            <w:r>
              <w:rPr>
                <w:b/>
                <w:color w:val="002060"/>
              </w:rPr>
              <w:t>+24.94%</w:t>
            </w:r>
            <w:r>
              <w:t xml:space="preserve">  </w:t>
            </w:r>
          </w:p>
        </w:tc>
        <w:tc>
          <w:tcPr>
            <w:tcW w:w="1181" w:type="dxa"/>
            <w:tcBorders>
              <w:top w:val="single" w:sz="4" w:space="0" w:color="000000"/>
              <w:left w:val="single" w:sz="4" w:space="0" w:color="000000"/>
              <w:bottom w:val="single" w:sz="4" w:space="0" w:color="000000"/>
              <w:right w:val="single" w:sz="4" w:space="0" w:color="000000"/>
            </w:tcBorders>
          </w:tcPr>
          <w:p w14:paraId="4A4323EA" w14:textId="77777777" w:rsidR="008B3CFD" w:rsidRDefault="00532F44">
            <w:pPr>
              <w:ind w:right="74"/>
              <w:jc w:val="center"/>
            </w:pPr>
            <w:r>
              <w:rPr>
                <w:b/>
                <w:color w:val="002060"/>
              </w:rPr>
              <w:t>+28.65%</w:t>
            </w:r>
            <w: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0CC59AA8" w14:textId="77777777" w:rsidR="008B3CFD" w:rsidRDefault="00532F44">
            <w:pPr>
              <w:ind w:left="75"/>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13CADFEC" w14:textId="77777777" w:rsidR="008B3CFD" w:rsidRDefault="00532F44">
            <w:pPr>
              <w:ind w:right="81"/>
              <w:jc w:val="center"/>
            </w:pPr>
            <w:r>
              <w:rPr>
                <w:b/>
                <w:color w:val="002060"/>
              </w:rPr>
              <w:t>+12.78%</w:t>
            </w: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68FD1FBF" w14:textId="77777777" w:rsidR="008B3CFD" w:rsidRDefault="00532F44">
            <w:pPr>
              <w:ind w:right="72"/>
              <w:jc w:val="center"/>
            </w:pPr>
            <w:r>
              <w:rPr>
                <w:b/>
                <w:color w:val="002060"/>
              </w:rPr>
              <w:t>+5.57%</w:t>
            </w:r>
            <w:r>
              <w:t xml:space="preserve">  </w:t>
            </w:r>
          </w:p>
        </w:tc>
      </w:tr>
      <w:tr w:rsidR="008B3CFD" w14:paraId="54BC4455" w14:textId="77777777">
        <w:trPr>
          <w:trHeight w:val="677"/>
        </w:trPr>
        <w:tc>
          <w:tcPr>
            <w:tcW w:w="1229" w:type="dxa"/>
            <w:tcBorders>
              <w:top w:val="single" w:sz="4" w:space="0" w:color="000000"/>
              <w:left w:val="single" w:sz="4" w:space="0" w:color="000000"/>
              <w:bottom w:val="single" w:sz="4" w:space="0" w:color="000000"/>
              <w:right w:val="single" w:sz="4" w:space="0" w:color="000000"/>
            </w:tcBorders>
          </w:tcPr>
          <w:p w14:paraId="151AFC70" w14:textId="77777777" w:rsidR="008B3CFD" w:rsidRDefault="00532F44">
            <w:r>
              <w:rPr>
                <w:b/>
                <w:color w:val="002060"/>
              </w:rPr>
              <w:t>2011</w:t>
            </w: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7530FE1" w14:textId="77777777" w:rsidR="008B3CFD" w:rsidRDefault="00532F44">
            <w:pPr>
              <w:ind w:left="74"/>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5895179C" w14:textId="77777777" w:rsidR="008B3CFD" w:rsidRDefault="00532F44">
            <w:pPr>
              <w:ind w:right="71"/>
              <w:jc w:val="center"/>
            </w:pPr>
            <w:r>
              <w:rPr>
                <w:b/>
                <w:color w:val="002060"/>
              </w:rPr>
              <w:t>+1.79%</w:t>
            </w:r>
            <w:r>
              <w:t xml:space="preserve">  </w:t>
            </w:r>
          </w:p>
        </w:tc>
        <w:tc>
          <w:tcPr>
            <w:tcW w:w="1181" w:type="dxa"/>
            <w:tcBorders>
              <w:top w:val="single" w:sz="4" w:space="0" w:color="000000"/>
              <w:left w:val="single" w:sz="4" w:space="0" w:color="000000"/>
              <w:bottom w:val="single" w:sz="4" w:space="0" w:color="000000"/>
              <w:right w:val="single" w:sz="4" w:space="0" w:color="000000"/>
            </w:tcBorders>
          </w:tcPr>
          <w:p w14:paraId="6AB79296" w14:textId="77777777" w:rsidR="008B3CFD" w:rsidRDefault="00532F44">
            <w:pPr>
              <w:ind w:right="74"/>
              <w:jc w:val="center"/>
            </w:pPr>
            <w:r>
              <w:rPr>
                <w:b/>
                <w:color w:val="002060"/>
              </w:rPr>
              <w:t>+30.96%</w:t>
            </w:r>
            <w: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1F7F794F" w14:textId="77777777" w:rsidR="008B3CFD" w:rsidRDefault="00532F44">
            <w:pPr>
              <w:ind w:left="75"/>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785D85FE" w14:textId="77777777" w:rsidR="008B3CFD" w:rsidRDefault="00532F44">
            <w:pPr>
              <w:ind w:right="77"/>
              <w:jc w:val="center"/>
            </w:pPr>
            <w:r>
              <w:rPr>
                <w:b/>
                <w:color w:val="002060"/>
              </w:rPr>
              <w:t>0.00%</w:t>
            </w: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36EA4740" w14:textId="77777777" w:rsidR="008B3CFD" w:rsidRDefault="00532F44">
            <w:pPr>
              <w:ind w:right="72"/>
              <w:jc w:val="center"/>
            </w:pPr>
            <w:r>
              <w:rPr>
                <w:b/>
                <w:color w:val="002060"/>
              </w:rPr>
              <w:t>+5.56%</w:t>
            </w:r>
            <w:r>
              <w:t xml:space="preserve">  </w:t>
            </w:r>
          </w:p>
        </w:tc>
      </w:tr>
      <w:tr w:rsidR="008B3CFD" w14:paraId="08737F81" w14:textId="77777777">
        <w:trPr>
          <w:trHeight w:val="674"/>
        </w:trPr>
        <w:tc>
          <w:tcPr>
            <w:tcW w:w="1229" w:type="dxa"/>
            <w:tcBorders>
              <w:top w:val="single" w:sz="4" w:space="0" w:color="000000"/>
              <w:left w:val="single" w:sz="4" w:space="0" w:color="000000"/>
              <w:bottom w:val="single" w:sz="4" w:space="0" w:color="000000"/>
              <w:right w:val="single" w:sz="4" w:space="0" w:color="000000"/>
            </w:tcBorders>
          </w:tcPr>
          <w:p w14:paraId="559641CD" w14:textId="77777777" w:rsidR="008B3CFD" w:rsidRDefault="00532F44">
            <w:r>
              <w:rPr>
                <w:b/>
                <w:color w:val="002060"/>
              </w:rPr>
              <w:t>2012</w:t>
            </w: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06735E9" w14:textId="77777777" w:rsidR="008B3CFD" w:rsidRDefault="00532F44">
            <w:pPr>
              <w:ind w:left="74"/>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128BD65B" w14:textId="77777777" w:rsidR="008B3CFD" w:rsidRDefault="00532F44">
            <w:pPr>
              <w:ind w:right="74"/>
              <w:jc w:val="center"/>
            </w:pPr>
            <w:r>
              <w:rPr>
                <w:b/>
                <w:color w:val="002060"/>
              </w:rPr>
              <w:t>+24.17%</w:t>
            </w:r>
            <w:r>
              <w:t xml:space="preserve">  </w:t>
            </w:r>
          </w:p>
        </w:tc>
        <w:tc>
          <w:tcPr>
            <w:tcW w:w="1181" w:type="dxa"/>
            <w:tcBorders>
              <w:top w:val="single" w:sz="4" w:space="0" w:color="000000"/>
              <w:left w:val="single" w:sz="4" w:space="0" w:color="000000"/>
              <w:bottom w:val="single" w:sz="4" w:space="0" w:color="000000"/>
              <w:right w:val="single" w:sz="4" w:space="0" w:color="000000"/>
            </w:tcBorders>
          </w:tcPr>
          <w:p w14:paraId="19AB2912" w14:textId="77777777" w:rsidR="008B3CFD" w:rsidRDefault="00532F44">
            <w:pPr>
              <w:ind w:right="74"/>
              <w:jc w:val="center"/>
            </w:pPr>
            <w:r>
              <w:rPr>
                <w:b/>
                <w:color w:val="002060"/>
              </w:rPr>
              <w:t>+62.61%</w:t>
            </w:r>
            <w: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5653485F" w14:textId="77777777" w:rsidR="008B3CFD" w:rsidRDefault="00532F44">
            <w:pPr>
              <w:ind w:left="75"/>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540C56AF" w14:textId="77777777" w:rsidR="008B3CFD" w:rsidRDefault="00532F44">
            <w:pPr>
              <w:ind w:right="81"/>
              <w:jc w:val="center"/>
            </w:pPr>
            <w:r>
              <w:rPr>
                <w:b/>
                <w:color w:val="002060"/>
              </w:rPr>
              <w:t>+13.41%</w:t>
            </w: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78665262" w14:textId="77777777" w:rsidR="008B3CFD" w:rsidRDefault="00532F44">
            <w:pPr>
              <w:ind w:left="70"/>
            </w:pPr>
            <w:r>
              <w:rPr>
                <w:b/>
                <w:color w:val="002060"/>
              </w:rPr>
              <w:t>+19.71%</w:t>
            </w:r>
            <w:r>
              <w:t xml:space="preserve">  </w:t>
            </w:r>
          </w:p>
        </w:tc>
      </w:tr>
      <w:tr w:rsidR="008B3CFD" w14:paraId="7EB21489" w14:textId="77777777">
        <w:trPr>
          <w:trHeight w:val="677"/>
        </w:trPr>
        <w:tc>
          <w:tcPr>
            <w:tcW w:w="1229" w:type="dxa"/>
            <w:tcBorders>
              <w:top w:val="single" w:sz="4" w:space="0" w:color="000000"/>
              <w:left w:val="single" w:sz="4" w:space="0" w:color="000000"/>
              <w:bottom w:val="single" w:sz="4" w:space="0" w:color="000000"/>
              <w:right w:val="single" w:sz="4" w:space="0" w:color="000000"/>
            </w:tcBorders>
          </w:tcPr>
          <w:p w14:paraId="51EF1BC1" w14:textId="77777777" w:rsidR="008B3CFD" w:rsidRDefault="00532F44">
            <w:r>
              <w:rPr>
                <w:b/>
                <w:color w:val="002060"/>
              </w:rPr>
              <w:t>2013</w:t>
            </w: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5D08952D" w14:textId="77777777" w:rsidR="008B3CFD" w:rsidRDefault="00532F44">
            <w:pPr>
              <w:ind w:left="74"/>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2D4FC5ED" w14:textId="77777777" w:rsidR="008B3CFD" w:rsidRDefault="00532F44">
            <w:pPr>
              <w:ind w:right="74"/>
              <w:jc w:val="center"/>
            </w:pPr>
            <w:r>
              <w:rPr>
                <w:b/>
                <w:color w:val="002060"/>
              </w:rPr>
              <w:t>+42.96%</w:t>
            </w:r>
            <w:r>
              <w:t xml:space="preserve">  </w:t>
            </w:r>
          </w:p>
        </w:tc>
        <w:tc>
          <w:tcPr>
            <w:tcW w:w="1181" w:type="dxa"/>
            <w:tcBorders>
              <w:top w:val="single" w:sz="4" w:space="0" w:color="000000"/>
              <w:left w:val="single" w:sz="4" w:space="0" w:color="000000"/>
              <w:bottom w:val="single" w:sz="4" w:space="0" w:color="000000"/>
              <w:right w:val="single" w:sz="4" w:space="0" w:color="000000"/>
            </w:tcBorders>
          </w:tcPr>
          <w:p w14:paraId="6868E21F" w14:textId="77777777" w:rsidR="008B3CFD" w:rsidRDefault="00532F44">
            <w:pPr>
              <w:ind w:left="43"/>
            </w:pPr>
            <w:r>
              <w:rPr>
                <w:b/>
                <w:color w:val="002060"/>
              </w:rPr>
              <w:t>+132.46%</w:t>
            </w:r>
            <w: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1AB7B4FA" w14:textId="77777777" w:rsidR="008B3CFD" w:rsidRDefault="00532F44">
            <w:pPr>
              <w:ind w:left="75"/>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14A69C03" w14:textId="77777777" w:rsidR="008B3CFD" w:rsidRDefault="00532F44">
            <w:pPr>
              <w:ind w:right="81"/>
              <w:jc w:val="center"/>
            </w:pPr>
            <w:r>
              <w:rPr>
                <w:b/>
                <w:color w:val="002060"/>
              </w:rPr>
              <w:t>+29.60%</w:t>
            </w: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56BBD39D" w14:textId="77777777" w:rsidR="008B3CFD" w:rsidRDefault="00532F44">
            <w:pPr>
              <w:ind w:left="70"/>
            </w:pPr>
            <w:r>
              <w:rPr>
                <w:b/>
                <w:color w:val="002060"/>
              </w:rPr>
              <w:t>+55.15%</w:t>
            </w:r>
            <w:r>
              <w:t xml:space="preserve">  </w:t>
            </w:r>
          </w:p>
        </w:tc>
      </w:tr>
      <w:tr w:rsidR="008B3CFD" w14:paraId="3FF20C28" w14:textId="77777777">
        <w:trPr>
          <w:trHeight w:val="677"/>
        </w:trPr>
        <w:tc>
          <w:tcPr>
            <w:tcW w:w="1229" w:type="dxa"/>
            <w:tcBorders>
              <w:top w:val="single" w:sz="4" w:space="0" w:color="000000"/>
              <w:left w:val="single" w:sz="4" w:space="0" w:color="000000"/>
              <w:bottom w:val="single" w:sz="4" w:space="0" w:color="000000"/>
              <w:right w:val="single" w:sz="4" w:space="0" w:color="000000"/>
            </w:tcBorders>
          </w:tcPr>
          <w:p w14:paraId="10CAB832" w14:textId="77777777" w:rsidR="008B3CFD" w:rsidRDefault="00532F44">
            <w:r>
              <w:rPr>
                <w:b/>
                <w:color w:val="002060"/>
              </w:rPr>
              <w:t>2014</w:t>
            </w: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C090358" w14:textId="77777777" w:rsidR="008B3CFD" w:rsidRDefault="00532F44">
            <w:pPr>
              <w:ind w:left="74"/>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10D2351E" w14:textId="77777777" w:rsidR="008B3CFD" w:rsidRDefault="00532F44">
            <w:pPr>
              <w:ind w:right="71"/>
              <w:jc w:val="center"/>
            </w:pPr>
            <w:r>
              <w:rPr>
                <w:b/>
                <w:color w:val="002060"/>
              </w:rPr>
              <w:t>+3.92%</w:t>
            </w:r>
            <w:r>
              <w:t xml:space="preserve">  </w:t>
            </w:r>
          </w:p>
        </w:tc>
        <w:tc>
          <w:tcPr>
            <w:tcW w:w="1181" w:type="dxa"/>
            <w:tcBorders>
              <w:top w:val="single" w:sz="4" w:space="0" w:color="000000"/>
              <w:left w:val="single" w:sz="4" w:space="0" w:color="000000"/>
              <w:bottom w:val="single" w:sz="4" w:space="0" w:color="000000"/>
              <w:right w:val="single" w:sz="4" w:space="0" w:color="000000"/>
            </w:tcBorders>
          </w:tcPr>
          <w:p w14:paraId="6B4C73D2" w14:textId="77777777" w:rsidR="008B3CFD" w:rsidRDefault="00532F44">
            <w:pPr>
              <w:ind w:left="43"/>
            </w:pPr>
            <w:r>
              <w:rPr>
                <w:b/>
                <w:color w:val="002060"/>
              </w:rPr>
              <w:t>+141.59%</w:t>
            </w:r>
            <w: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6F043AC5" w14:textId="77777777" w:rsidR="008B3CFD" w:rsidRDefault="00532F44">
            <w:pPr>
              <w:ind w:left="75"/>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104F7E99" w14:textId="77777777" w:rsidR="008B3CFD" w:rsidRDefault="00532F44">
            <w:pPr>
              <w:ind w:right="81"/>
              <w:jc w:val="center"/>
            </w:pPr>
            <w:r>
              <w:rPr>
                <w:b/>
                <w:color w:val="002060"/>
              </w:rPr>
              <w:t>+11.39%</w:t>
            </w: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54B85DC4" w14:textId="77777777" w:rsidR="008B3CFD" w:rsidRDefault="00532F44">
            <w:pPr>
              <w:ind w:left="70"/>
            </w:pPr>
            <w:r>
              <w:rPr>
                <w:b/>
                <w:color w:val="002060"/>
              </w:rPr>
              <w:t>+72.82%</w:t>
            </w:r>
            <w:r>
              <w:t xml:space="preserve">  </w:t>
            </w:r>
          </w:p>
        </w:tc>
      </w:tr>
      <w:tr w:rsidR="008B3CFD" w14:paraId="3C80C03C" w14:textId="77777777">
        <w:trPr>
          <w:trHeight w:val="674"/>
        </w:trPr>
        <w:tc>
          <w:tcPr>
            <w:tcW w:w="1229" w:type="dxa"/>
            <w:tcBorders>
              <w:top w:val="single" w:sz="4" w:space="0" w:color="000000"/>
              <w:left w:val="single" w:sz="4" w:space="0" w:color="000000"/>
              <w:bottom w:val="single" w:sz="4" w:space="0" w:color="000000"/>
              <w:right w:val="single" w:sz="4" w:space="0" w:color="000000"/>
            </w:tcBorders>
          </w:tcPr>
          <w:p w14:paraId="43C94036" w14:textId="77777777" w:rsidR="008B3CFD" w:rsidRDefault="00532F44">
            <w:r>
              <w:rPr>
                <w:b/>
                <w:color w:val="002060"/>
              </w:rPr>
              <w:t>2015</w:t>
            </w:r>
            <w:r>
              <w:rPr>
                <w:color w:val="002060"/>
              </w:rPr>
              <w:t xml:space="preserve"> </w:t>
            </w: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1AB11DC1" w14:textId="77777777" w:rsidR="008B3CFD" w:rsidRDefault="00532F44">
            <w:pPr>
              <w:ind w:left="74"/>
              <w:jc w:val="center"/>
            </w:pPr>
            <w:r>
              <w:rPr>
                <w:color w:val="002060"/>
              </w:rPr>
              <w:t xml:space="preserve"> </w:t>
            </w:r>
            <w: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17CF2931" w14:textId="77777777" w:rsidR="008B3CFD" w:rsidRDefault="00532F44">
            <w:pPr>
              <w:ind w:right="74"/>
              <w:jc w:val="center"/>
            </w:pPr>
            <w:r>
              <w:rPr>
                <w:b/>
                <w:color w:val="002060"/>
              </w:rPr>
              <w:t>-2.10%</w:t>
            </w:r>
            <w:r>
              <w:rPr>
                <w:color w:val="002060"/>
              </w:rPr>
              <w:t xml:space="preserve"> </w:t>
            </w:r>
            <w:r>
              <w:t xml:space="preserve"> </w:t>
            </w:r>
          </w:p>
        </w:tc>
        <w:tc>
          <w:tcPr>
            <w:tcW w:w="1181" w:type="dxa"/>
            <w:tcBorders>
              <w:top w:val="single" w:sz="4" w:space="0" w:color="000000"/>
              <w:left w:val="single" w:sz="4" w:space="0" w:color="000000"/>
              <w:bottom w:val="single" w:sz="4" w:space="0" w:color="000000"/>
              <w:right w:val="single" w:sz="4" w:space="0" w:color="000000"/>
            </w:tcBorders>
          </w:tcPr>
          <w:p w14:paraId="016BF97F" w14:textId="77777777" w:rsidR="008B3CFD" w:rsidRDefault="00532F44">
            <w:pPr>
              <w:ind w:left="43"/>
            </w:pPr>
            <w:r>
              <w:rPr>
                <w:b/>
                <w:color w:val="002060"/>
              </w:rPr>
              <w:t>+136.51%</w:t>
            </w:r>
            <w:r>
              <w:rPr>
                <w:color w:val="002060"/>
              </w:rPr>
              <w:t xml:space="preserve"> </w:t>
            </w:r>
            <w: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264F358F" w14:textId="77777777" w:rsidR="008B3CFD" w:rsidRDefault="00532F44">
            <w:pPr>
              <w:ind w:left="75"/>
              <w:jc w:val="center"/>
            </w:pPr>
            <w:r>
              <w:rPr>
                <w:color w:val="002060"/>
              </w:rPr>
              <w:t xml:space="preserve"> </w:t>
            </w:r>
            <w: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47C6802C" w14:textId="77777777" w:rsidR="008B3CFD" w:rsidRDefault="00532F44">
            <w:pPr>
              <w:ind w:right="77"/>
              <w:jc w:val="center"/>
            </w:pPr>
            <w:r>
              <w:rPr>
                <w:b/>
                <w:color w:val="002060"/>
              </w:rPr>
              <w:t>-0.73%</w:t>
            </w:r>
            <w:r>
              <w:rPr>
                <w:color w:val="002060"/>
              </w:rPr>
              <w:t xml:space="preserve"> </w:t>
            </w: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252FF96E" w14:textId="77777777" w:rsidR="008B3CFD" w:rsidRDefault="00532F44">
            <w:pPr>
              <w:ind w:left="70"/>
            </w:pPr>
            <w:r>
              <w:rPr>
                <w:b/>
                <w:color w:val="002060"/>
              </w:rPr>
              <w:t>+71.56%</w:t>
            </w:r>
            <w:r>
              <w:rPr>
                <w:color w:val="002060"/>
              </w:rPr>
              <w:t xml:space="preserve"> </w:t>
            </w:r>
            <w:r>
              <w:t xml:space="preserve"> </w:t>
            </w:r>
          </w:p>
        </w:tc>
      </w:tr>
      <w:tr w:rsidR="008B3CFD" w14:paraId="15E56D19" w14:textId="77777777">
        <w:trPr>
          <w:trHeight w:val="677"/>
        </w:trPr>
        <w:tc>
          <w:tcPr>
            <w:tcW w:w="1229" w:type="dxa"/>
            <w:tcBorders>
              <w:top w:val="single" w:sz="4" w:space="0" w:color="000000"/>
              <w:left w:val="single" w:sz="4" w:space="0" w:color="000000"/>
              <w:bottom w:val="single" w:sz="4" w:space="0" w:color="000000"/>
              <w:right w:val="single" w:sz="4" w:space="0" w:color="000000"/>
            </w:tcBorders>
          </w:tcPr>
          <w:p w14:paraId="325B9E61" w14:textId="77777777" w:rsidR="008B3CFD" w:rsidRDefault="00532F44">
            <w:pPr>
              <w:ind w:left="38"/>
            </w:pPr>
            <w:r>
              <w:rPr>
                <w:b/>
                <w:color w:val="002060"/>
              </w:rPr>
              <w:t xml:space="preserve">2016 </w:t>
            </w: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7FD7CE3E" w14:textId="77777777" w:rsidR="008B3CFD" w:rsidRDefault="00532F44">
            <w:pPr>
              <w:ind w:left="70"/>
              <w:jc w:val="center"/>
            </w:pPr>
            <w:r>
              <w:rPr>
                <w:b/>
                <w:color w:val="002060"/>
              </w:rPr>
              <w:t xml:space="preserve"> </w:t>
            </w:r>
            <w: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15102D04" w14:textId="77777777" w:rsidR="008B3CFD" w:rsidRDefault="00532F44">
            <w:pPr>
              <w:ind w:right="83"/>
              <w:jc w:val="center"/>
            </w:pPr>
            <w:r>
              <w:rPr>
                <w:b/>
                <w:color w:val="002060"/>
              </w:rPr>
              <w:t xml:space="preserve">+31.95% </w:t>
            </w:r>
            <w:r>
              <w:t xml:space="preserve"> </w:t>
            </w:r>
          </w:p>
        </w:tc>
        <w:tc>
          <w:tcPr>
            <w:tcW w:w="1181" w:type="dxa"/>
            <w:tcBorders>
              <w:top w:val="single" w:sz="4" w:space="0" w:color="000000"/>
              <w:left w:val="single" w:sz="4" w:space="0" w:color="000000"/>
              <w:bottom w:val="single" w:sz="4" w:space="0" w:color="000000"/>
              <w:right w:val="single" w:sz="4" w:space="0" w:color="000000"/>
            </w:tcBorders>
          </w:tcPr>
          <w:p w14:paraId="289BBC1C" w14:textId="77777777" w:rsidR="008B3CFD" w:rsidRDefault="00532F44">
            <w:pPr>
              <w:ind w:left="62"/>
            </w:pPr>
            <w:r>
              <w:rPr>
                <w:b/>
                <w:color w:val="002060"/>
              </w:rPr>
              <w:t xml:space="preserve">+212.07% </w:t>
            </w:r>
            <w: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798C46D9" w14:textId="77777777" w:rsidR="008B3CFD" w:rsidRDefault="00532F44">
            <w:pPr>
              <w:ind w:left="70"/>
              <w:jc w:val="center"/>
            </w:pPr>
            <w:r>
              <w:rPr>
                <w:b/>
                <w:color w:val="002060"/>
              </w:rPr>
              <w:t xml:space="preserve"> </w:t>
            </w:r>
            <w: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1586FA61" w14:textId="77777777" w:rsidR="008B3CFD" w:rsidRDefault="00532F44">
            <w:pPr>
              <w:ind w:right="88"/>
              <w:jc w:val="center"/>
            </w:pPr>
            <w:r>
              <w:rPr>
                <w:b/>
                <w:color w:val="002060"/>
              </w:rPr>
              <w:t xml:space="preserve">+9.54% </w:t>
            </w: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76402557" w14:textId="77777777" w:rsidR="008B3CFD" w:rsidRDefault="00532F44">
            <w:pPr>
              <w:ind w:right="142"/>
              <w:jc w:val="right"/>
            </w:pPr>
            <w:r>
              <w:rPr>
                <w:b/>
                <w:color w:val="002060"/>
              </w:rPr>
              <w:t xml:space="preserve">+87.93% </w:t>
            </w:r>
            <w:r>
              <w:t xml:space="preserve"> </w:t>
            </w:r>
          </w:p>
        </w:tc>
      </w:tr>
      <w:tr w:rsidR="008B3CFD" w14:paraId="2B902359" w14:textId="77777777">
        <w:trPr>
          <w:trHeight w:val="679"/>
        </w:trPr>
        <w:tc>
          <w:tcPr>
            <w:tcW w:w="1229" w:type="dxa"/>
            <w:tcBorders>
              <w:top w:val="single" w:sz="4" w:space="0" w:color="000000"/>
              <w:left w:val="single" w:sz="4" w:space="0" w:color="000000"/>
              <w:bottom w:val="single" w:sz="4" w:space="0" w:color="000000"/>
              <w:right w:val="single" w:sz="4" w:space="0" w:color="000000"/>
            </w:tcBorders>
          </w:tcPr>
          <w:p w14:paraId="1D97208A" w14:textId="77777777" w:rsidR="008B3CFD" w:rsidRDefault="00532F44">
            <w:pPr>
              <w:ind w:left="38"/>
            </w:pPr>
            <w:r>
              <w:rPr>
                <w:i/>
                <w:color w:val="002060"/>
              </w:rPr>
              <w:lastRenderedPageBreak/>
              <w:t xml:space="preserve">  </w:t>
            </w: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9C81A69" w14:textId="77777777" w:rsidR="008B3CFD" w:rsidRDefault="00532F44">
            <w:pPr>
              <w:ind w:right="80"/>
              <w:jc w:val="center"/>
            </w:pPr>
            <w:r>
              <w:rPr>
                <w:i/>
                <w:color w:val="002060"/>
              </w:rPr>
              <w:t xml:space="preserve">MTD </w:t>
            </w:r>
            <w: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1CAA048A" w14:textId="77777777" w:rsidR="008B3CFD" w:rsidRDefault="00532F44">
            <w:pPr>
              <w:ind w:right="87"/>
              <w:jc w:val="center"/>
            </w:pPr>
            <w:r>
              <w:rPr>
                <w:i/>
                <w:color w:val="002060"/>
              </w:rPr>
              <w:t xml:space="preserve">YTD </w:t>
            </w:r>
            <w:r>
              <w:t xml:space="preserve"> </w:t>
            </w:r>
          </w:p>
        </w:tc>
        <w:tc>
          <w:tcPr>
            <w:tcW w:w="1181" w:type="dxa"/>
            <w:tcBorders>
              <w:top w:val="single" w:sz="4" w:space="0" w:color="000000"/>
              <w:left w:val="single" w:sz="4" w:space="0" w:color="000000"/>
              <w:bottom w:val="single" w:sz="4" w:space="0" w:color="000000"/>
              <w:right w:val="single" w:sz="4" w:space="0" w:color="000000"/>
            </w:tcBorders>
          </w:tcPr>
          <w:p w14:paraId="417CE62B" w14:textId="77777777" w:rsidR="008B3CFD" w:rsidRDefault="00532F44">
            <w:pPr>
              <w:ind w:right="39"/>
              <w:jc w:val="center"/>
            </w:pPr>
            <w:r>
              <w:rPr>
                <w:i/>
                <w:color w:val="002060"/>
              </w:rPr>
              <w:t xml:space="preserve">ITD </w:t>
            </w:r>
            <w: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6F96D6C3" w14:textId="77777777" w:rsidR="008B3CFD" w:rsidRDefault="00532F44">
            <w:pPr>
              <w:ind w:right="85"/>
              <w:jc w:val="center"/>
            </w:pPr>
            <w:r>
              <w:rPr>
                <w:i/>
                <w:color w:val="002060"/>
              </w:rPr>
              <w:t xml:space="preserve">MTD </w:t>
            </w:r>
            <w: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08B9DA33" w14:textId="77777777" w:rsidR="008B3CFD" w:rsidRDefault="00532F44">
            <w:pPr>
              <w:ind w:right="85"/>
              <w:jc w:val="center"/>
            </w:pPr>
            <w:r>
              <w:rPr>
                <w:i/>
                <w:color w:val="002060"/>
              </w:rPr>
              <w:t xml:space="preserve">YTD </w:t>
            </w: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5CF4849B" w14:textId="77777777" w:rsidR="008B3CFD" w:rsidRDefault="00532F44">
            <w:pPr>
              <w:ind w:right="40"/>
              <w:jc w:val="center"/>
            </w:pPr>
            <w:r>
              <w:rPr>
                <w:i/>
                <w:color w:val="002060"/>
              </w:rPr>
              <w:t xml:space="preserve">ITD </w:t>
            </w:r>
            <w:r>
              <w:t xml:space="preserve"> </w:t>
            </w:r>
          </w:p>
        </w:tc>
      </w:tr>
      <w:tr w:rsidR="009840F4" w14:paraId="4D968DB0" w14:textId="77777777">
        <w:trPr>
          <w:trHeight w:val="679"/>
        </w:trPr>
        <w:tc>
          <w:tcPr>
            <w:tcW w:w="1229" w:type="dxa"/>
            <w:tcBorders>
              <w:top w:val="single" w:sz="4" w:space="0" w:color="000000"/>
              <w:left w:val="single" w:sz="4" w:space="0" w:color="000000"/>
              <w:bottom w:val="single" w:sz="4" w:space="0" w:color="000000"/>
              <w:right w:val="single" w:sz="4" w:space="0" w:color="000000"/>
            </w:tcBorders>
          </w:tcPr>
          <w:p w14:paraId="659B0216" w14:textId="06640A8C" w:rsidR="009840F4" w:rsidRDefault="009840F4">
            <w:pPr>
              <w:rPr>
                <w:b/>
                <w:color w:val="002060"/>
              </w:rPr>
            </w:pPr>
            <w:r>
              <w:rPr>
                <w:b/>
                <w:color w:val="002060"/>
              </w:rPr>
              <w:t>2017</w:t>
            </w:r>
          </w:p>
        </w:tc>
        <w:tc>
          <w:tcPr>
            <w:tcW w:w="994" w:type="dxa"/>
            <w:tcBorders>
              <w:top w:val="single" w:sz="4" w:space="0" w:color="000000"/>
              <w:left w:val="single" w:sz="4" w:space="0" w:color="000000"/>
              <w:bottom w:val="single" w:sz="4" w:space="0" w:color="000000"/>
              <w:right w:val="single" w:sz="4" w:space="0" w:color="000000"/>
            </w:tcBorders>
          </w:tcPr>
          <w:p w14:paraId="06ABEC46" w14:textId="0677E402" w:rsidR="009840F4" w:rsidRDefault="009840F4">
            <w:pPr>
              <w:ind w:left="82"/>
              <w:rPr>
                <w:b/>
                <w:color w:val="002060"/>
              </w:rPr>
            </w:pPr>
          </w:p>
        </w:tc>
        <w:tc>
          <w:tcPr>
            <w:tcW w:w="1469" w:type="dxa"/>
            <w:tcBorders>
              <w:top w:val="single" w:sz="4" w:space="0" w:color="000000"/>
              <w:left w:val="single" w:sz="4" w:space="0" w:color="000000"/>
              <w:bottom w:val="single" w:sz="4" w:space="0" w:color="000000"/>
              <w:right w:val="single" w:sz="4" w:space="0" w:color="000000"/>
            </w:tcBorders>
          </w:tcPr>
          <w:p w14:paraId="0C93EA96" w14:textId="77777777" w:rsidR="009840F4" w:rsidRDefault="009840F4">
            <w:pPr>
              <w:ind w:right="66"/>
              <w:jc w:val="center"/>
              <w:rPr>
                <w:b/>
                <w:color w:val="002060"/>
              </w:rPr>
            </w:pPr>
            <w:r>
              <w:rPr>
                <w:b/>
                <w:color w:val="002060"/>
              </w:rPr>
              <w:t>+13.43%</w:t>
            </w:r>
          </w:p>
        </w:tc>
        <w:tc>
          <w:tcPr>
            <w:tcW w:w="1181" w:type="dxa"/>
            <w:tcBorders>
              <w:top w:val="single" w:sz="4" w:space="0" w:color="000000"/>
              <w:left w:val="single" w:sz="4" w:space="0" w:color="000000"/>
              <w:bottom w:val="single" w:sz="4" w:space="0" w:color="000000"/>
              <w:right w:val="single" w:sz="4" w:space="0" w:color="000000"/>
            </w:tcBorders>
          </w:tcPr>
          <w:p w14:paraId="219B35F7" w14:textId="77777777" w:rsidR="009840F4" w:rsidRDefault="009840F4">
            <w:pPr>
              <w:ind w:left="43"/>
              <w:rPr>
                <w:b/>
                <w:color w:val="002060"/>
              </w:rPr>
            </w:pPr>
            <w:r>
              <w:rPr>
                <w:b/>
                <w:color w:val="002060"/>
              </w:rPr>
              <w:t>+254.00%</w:t>
            </w:r>
          </w:p>
        </w:tc>
        <w:tc>
          <w:tcPr>
            <w:tcW w:w="1047" w:type="dxa"/>
            <w:tcBorders>
              <w:top w:val="single" w:sz="4" w:space="0" w:color="000000"/>
              <w:left w:val="single" w:sz="4" w:space="0" w:color="000000"/>
              <w:bottom w:val="single" w:sz="4" w:space="0" w:color="000000"/>
              <w:right w:val="single" w:sz="4" w:space="0" w:color="000000"/>
            </w:tcBorders>
          </w:tcPr>
          <w:p w14:paraId="5A72046B" w14:textId="7795DEAA" w:rsidR="009840F4" w:rsidRDefault="009840F4">
            <w:pPr>
              <w:ind w:left="89"/>
              <w:rPr>
                <w:b/>
                <w:color w:val="002060"/>
              </w:rPr>
            </w:pPr>
          </w:p>
        </w:tc>
        <w:tc>
          <w:tcPr>
            <w:tcW w:w="1466" w:type="dxa"/>
            <w:tcBorders>
              <w:top w:val="single" w:sz="4" w:space="0" w:color="000000"/>
              <w:left w:val="single" w:sz="4" w:space="0" w:color="000000"/>
              <w:bottom w:val="single" w:sz="4" w:space="0" w:color="000000"/>
              <w:right w:val="single" w:sz="4" w:space="0" w:color="000000"/>
            </w:tcBorders>
          </w:tcPr>
          <w:p w14:paraId="632065D8" w14:textId="77777777" w:rsidR="009840F4" w:rsidRDefault="009840F4">
            <w:pPr>
              <w:ind w:right="69"/>
              <w:jc w:val="center"/>
              <w:rPr>
                <w:b/>
                <w:color w:val="002060"/>
              </w:rPr>
            </w:pPr>
            <w:r>
              <w:rPr>
                <w:b/>
                <w:color w:val="002060"/>
              </w:rPr>
              <w:t>+19.42%</w:t>
            </w:r>
          </w:p>
        </w:tc>
        <w:tc>
          <w:tcPr>
            <w:tcW w:w="1143" w:type="dxa"/>
            <w:tcBorders>
              <w:top w:val="single" w:sz="4" w:space="0" w:color="000000"/>
              <w:left w:val="single" w:sz="4" w:space="0" w:color="000000"/>
              <w:bottom w:val="single" w:sz="4" w:space="0" w:color="000000"/>
              <w:right w:val="single" w:sz="4" w:space="0" w:color="000000"/>
            </w:tcBorders>
          </w:tcPr>
          <w:p w14:paraId="6CEFFBAA" w14:textId="77777777" w:rsidR="009840F4" w:rsidRDefault="009840F4">
            <w:pPr>
              <w:ind w:left="70"/>
              <w:rPr>
                <w:b/>
                <w:color w:val="002060"/>
              </w:rPr>
            </w:pPr>
            <w:r>
              <w:rPr>
                <w:b/>
                <w:color w:val="002060"/>
              </w:rPr>
              <w:t>+124.42%</w:t>
            </w:r>
          </w:p>
        </w:tc>
      </w:tr>
      <w:tr w:rsidR="00C43329" w14:paraId="3155CD30" w14:textId="77777777">
        <w:trPr>
          <w:trHeight w:val="679"/>
        </w:trPr>
        <w:tc>
          <w:tcPr>
            <w:tcW w:w="1229" w:type="dxa"/>
            <w:tcBorders>
              <w:top w:val="single" w:sz="4" w:space="0" w:color="000000"/>
              <w:left w:val="single" w:sz="4" w:space="0" w:color="000000"/>
              <w:bottom w:val="single" w:sz="4" w:space="0" w:color="000000"/>
              <w:right w:val="single" w:sz="4" w:space="0" w:color="000000"/>
            </w:tcBorders>
          </w:tcPr>
          <w:p w14:paraId="775FDA71" w14:textId="493D285B" w:rsidR="00C43329" w:rsidRDefault="00C43329">
            <w:pPr>
              <w:rPr>
                <w:b/>
                <w:color w:val="002060"/>
              </w:rPr>
            </w:pPr>
            <w:r>
              <w:rPr>
                <w:b/>
                <w:color w:val="002060"/>
              </w:rPr>
              <w:t>2018</w:t>
            </w:r>
          </w:p>
        </w:tc>
        <w:tc>
          <w:tcPr>
            <w:tcW w:w="994" w:type="dxa"/>
            <w:tcBorders>
              <w:top w:val="single" w:sz="4" w:space="0" w:color="000000"/>
              <w:left w:val="single" w:sz="4" w:space="0" w:color="000000"/>
              <w:bottom w:val="single" w:sz="4" w:space="0" w:color="000000"/>
              <w:right w:val="single" w:sz="4" w:space="0" w:color="000000"/>
            </w:tcBorders>
          </w:tcPr>
          <w:p w14:paraId="334C1963" w14:textId="22828926" w:rsidR="00C43329" w:rsidRDefault="00C43329">
            <w:pPr>
              <w:ind w:left="82"/>
              <w:rPr>
                <w:b/>
                <w:color w:val="002060"/>
              </w:rPr>
            </w:pPr>
          </w:p>
        </w:tc>
        <w:tc>
          <w:tcPr>
            <w:tcW w:w="1469" w:type="dxa"/>
            <w:tcBorders>
              <w:top w:val="single" w:sz="4" w:space="0" w:color="000000"/>
              <w:left w:val="single" w:sz="4" w:space="0" w:color="000000"/>
              <w:bottom w:val="single" w:sz="4" w:space="0" w:color="000000"/>
              <w:right w:val="single" w:sz="4" w:space="0" w:color="000000"/>
            </w:tcBorders>
          </w:tcPr>
          <w:p w14:paraId="0976BA05" w14:textId="4D53668A" w:rsidR="00C43329" w:rsidRDefault="00C43329">
            <w:pPr>
              <w:ind w:right="66"/>
              <w:jc w:val="center"/>
              <w:rPr>
                <w:b/>
                <w:color w:val="002060"/>
              </w:rPr>
            </w:pPr>
            <w:r>
              <w:rPr>
                <w:b/>
                <w:color w:val="002060"/>
              </w:rPr>
              <w:t>-20.44%</w:t>
            </w:r>
          </w:p>
        </w:tc>
        <w:tc>
          <w:tcPr>
            <w:tcW w:w="1181" w:type="dxa"/>
            <w:tcBorders>
              <w:top w:val="single" w:sz="4" w:space="0" w:color="000000"/>
              <w:left w:val="single" w:sz="4" w:space="0" w:color="000000"/>
              <w:bottom w:val="single" w:sz="4" w:space="0" w:color="000000"/>
              <w:right w:val="single" w:sz="4" w:space="0" w:color="000000"/>
            </w:tcBorders>
          </w:tcPr>
          <w:p w14:paraId="2ACAF722" w14:textId="18F62033" w:rsidR="00C43329" w:rsidRDefault="00C43329">
            <w:pPr>
              <w:ind w:left="43"/>
              <w:rPr>
                <w:b/>
                <w:color w:val="002060"/>
              </w:rPr>
            </w:pPr>
            <w:r>
              <w:rPr>
                <w:b/>
                <w:color w:val="002060"/>
              </w:rPr>
              <w:t>+181.65%</w:t>
            </w:r>
          </w:p>
        </w:tc>
        <w:tc>
          <w:tcPr>
            <w:tcW w:w="1047" w:type="dxa"/>
            <w:tcBorders>
              <w:top w:val="single" w:sz="4" w:space="0" w:color="000000"/>
              <w:left w:val="single" w:sz="4" w:space="0" w:color="000000"/>
              <w:bottom w:val="single" w:sz="4" w:space="0" w:color="000000"/>
              <w:right w:val="single" w:sz="4" w:space="0" w:color="000000"/>
            </w:tcBorders>
          </w:tcPr>
          <w:p w14:paraId="4777985C" w14:textId="144885C6" w:rsidR="00C43329" w:rsidRDefault="00C43329">
            <w:pPr>
              <w:ind w:left="89"/>
              <w:rPr>
                <w:b/>
                <w:color w:val="002060"/>
              </w:rPr>
            </w:pPr>
          </w:p>
        </w:tc>
        <w:tc>
          <w:tcPr>
            <w:tcW w:w="1466" w:type="dxa"/>
            <w:tcBorders>
              <w:top w:val="single" w:sz="4" w:space="0" w:color="000000"/>
              <w:left w:val="single" w:sz="4" w:space="0" w:color="000000"/>
              <w:bottom w:val="single" w:sz="4" w:space="0" w:color="000000"/>
              <w:right w:val="single" w:sz="4" w:space="0" w:color="000000"/>
            </w:tcBorders>
          </w:tcPr>
          <w:p w14:paraId="521CE66D" w14:textId="3CD204DB" w:rsidR="00C43329" w:rsidRDefault="00C43329">
            <w:pPr>
              <w:ind w:right="69"/>
              <w:jc w:val="center"/>
              <w:rPr>
                <w:b/>
                <w:color w:val="002060"/>
              </w:rPr>
            </w:pPr>
            <w:r>
              <w:rPr>
                <w:b/>
                <w:color w:val="002060"/>
              </w:rPr>
              <w:t>-6.24%</w:t>
            </w:r>
          </w:p>
        </w:tc>
        <w:tc>
          <w:tcPr>
            <w:tcW w:w="1143" w:type="dxa"/>
            <w:tcBorders>
              <w:top w:val="single" w:sz="4" w:space="0" w:color="000000"/>
              <w:left w:val="single" w:sz="4" w:space="0" w:color="000000"/>
              <w:bottom w:val="single" w:sz="4" w:space="0" w:color="000000"/>
              <w:right w:val="single" w:sz="4" w:space="0" w:color="000000"/>
            </w:tcBorders>
          </w:tcPr>
          <w:p w14:paraId="39C0B7BE" w14:textId="63F874B1" w:rsidR="00C43329" w:rsidRDefault="00C43329">
            <w:pPr>
              <w:ind w:left="70"/>
              <w:rPr>
                <w:b/>
                <w:color w:val="002060"/>
              </w:rPr>
            </w:pPr>
            <w:r>
              <w:rPr>
                <w:b/>
                <w:color w:val="002060"/>
              </w:rPr>
              <w:t>+110.42%</w:t>
            </w:r>
          </w:p>
        </w:tc>
      </w:tr>
      <w:tr w:rsidR="00B90E21" w14:paraId="352315AE" w14:textId="77777777">
        <w:trPr>
          <w:trHeight w:val="679"/>
        </w:trPr>
        <w:tc>
          <w:tcPr>
            <w:tcW w:w="1229" w:type="dxa"/>
            <w:tcBorders>
              <w:top w:val="single" w:sz="4" w:space="0" w:color="000000"/>
              <w:left w:val="single" w:sz="4" w:space="0" w:color="000000"/>
              <w:bottom w:val="single" w:sz="4" w:space="0" w:color="000000"/>
              <w:right w:val="single" w:sz="4" w:space="0" w:color="000000"/>
            </w:tcBorders>
          </w:tcPr>
          <w:p w14:paraId="0B0B4CB4" w14:textId="42F960B4" w:rsidR="00B90E21" w:rsidRDefault="00B90E21">
            <w:pPr>
              <w:rPr>
                <w:b/>
                <w:color w:val="002060"/>
              </w:rPr>
            </w:pPr>
            <w:r>
              <w:rPr>
                <w:b/>
                <w:color w:val="002060"/>
              </w:rPr>
              <w:t>Jan 2019</w:t>
            </w:r>
          </w:p>
        </w:tc>
        <w:tc>
          <w:tcPr>
            <w:tcW w:w="994" w:type="dxa"/>
            <w:tcBorders>
              <w:top w:val="single" w:sz="4" w:space="0" w:color="000000"/>
              <w:left w:val="single" w:sz="4" w:space="0" w:color="000000"/>
              <w:bottom w:val="single" w:sz="4" w:space="0" w:color="000000"/>
              <w:right w:val="single" w:sz="4" w:space="0" w:color="000000"/>
            </w:tcBorders>
          </w:tcPr>
          <w:p w14:paraId="4B8A5082" w14:textId="2A44FDF0" w:rsidR="00B90E21" w:rsidRDefault="00B90E21">
            <w:pPr>
              <w:ind w:left="82"/>
              <w:rPr>
                <w:b/>
                <w:color w:val="002060"/>
              </w:rPr>
            </w:pPr>
            <w:r>
              <w:rPr>
                <w:b/>
                <w:color w:val="002060"/>
              </w:rPr>
              <w:t>+9.12%</w:t>
            </w:r>
          </w:p>
        </w:tc>
        <w:tc>
          <w:tcPr>
            <w:tcW w:w="1469" w:type="dxa"/>
            <w:tcBorders>
              <w:top w:val="single" w:sz="4" w:space="0" w:color="000000"/>
              <w:left w:val="single" w:sz="4" w:space="0" w:color="000000"/>
              <w:bottom w:val="single" w:sz="4" w:space="0" w:color="000000"/>
              <w:right w:val="single" w:sz="4" w:space="0" w:color="000000"/>
            </w:tcBorders>
          </w:tcPr>
          <w:p w14:paraId="143F7122" w14:textId="61F1FB57" w:rsidR="00B90E21" w:rsidRDefault="00B90E21">
            <w:pPr>
              <w:ind w:right="66"/>
              <w:jc w:val="center"/>
              <w:rPr>
                <w:b/>
                <w:color w:val="002060"/>
              </w:rPr>
            </w:pPr>
            <w:r>
              <w:rPr>
                <w:b/>
                <w:color w:val="002060"/>
              </w:rPr>
              <w:t>+9.12%</w:t>
            </w:r>
          </w:p>
        </w:tc>
        <w:tc>
          <w:tcPr>
            <w:tcW w:w="1181" w:type="dxa"/>
            <w:tcBorders>
              <w:top w:val="single" w:sz="4" w:space="0" w:color="000000"/>
              <w:left w:val="single" w:sz="4" w:space="0" w:color="000000"/>
              <w:bottom w:val="single" w:sz="4" w:space="0" w:color="000000"/>
              <w:right w:val="single" w:sz="4" w:space="0" w:color="000000"/>
            </w:tcBorders>
          </w:tcPr>
          <w:p w14:paraId="60E3DA06" w14:textId="0B3743B1" w:rsidR="00B90E21" w:rsidRDefault="00B90E21">
            <w:pPr>
              <w:ind w:left="43"/>
              <w:rPr>
                <w:b/>
                <w:color w:val="002060"/>
              </w:rPr>
            </w:pPr>
            <w:r>
              <w:rPr>
                <w:b/>
                <w:color w:val="002060"/>
              </w:rPr>
              <w:t>+207.34%</w:t>
            </w:r>
          </w:p>
        </w:tc>
        <w:tc>
          <w:tcPr>
            <w:tcW w:w="1047" w:type="dxa"/>
            <w:tcBorders>
              <w:top w:val="single" w:sz="4" w:space="0" w:color="000000"/>
              <w:left w:val="single" w:sz="4" w:space="0" w:color="000000"/>
              <w:bottom w:val="single" w:sz="4" w:space="0" w:color="000000"/>
              <w:right w:val="single" w:sz="4" w:space="0" w:color="000000"/>
            </w:tcBorders>
          </w:tcPr>
          <w:p w14:paraId="20300C9F" w14:textId="3A5C9857" w:rsidR="00B90E21" w:rsidRDefault="00B90E21">
            <w:pPr>
              <w:ind w:left="89"/>
              <w:rPr>
                <w:b/>
                <w:color w:val="002060"/>
              </w:rPr>
            </w:pPr>
            <w:r>
              <w:rPr>
                <w:b/>
                <w:color w:val="002060"/>
              </w:rPr>
              <w:t>+7.87%</w:t>
            </w:r>
          </w:p>
        </w:tc>
        <w:tc>
          <w:tcPr>
            <w:tcW w:w="1466" w:type="dxa"/>
            <w:tcBorders>
              <w:top w:val="single" w:sz="4" w:space="0" w:color="000000"/>
              <w:left w:val="single" w:sz="4" w:space="0" w:color="000000"/>
              <w:bottom w:val="single" w:sz="4" w:space="0" w:color="000000"/>
              <w:right w:val="single" w:sz="4" w:space="0" w:color="000000"/>
            </w:tcBorders>
          </w:tcPr>
          <w:p w14:paraId="6E60ED93" w14:textId="4CE91B02" w:rsidR="00B90E21" w:rsidRDefault="00B90E21">
            <w:pPr>
              <w:ind w:right="69"/>
              <w:jc w:val="center"/>
              <w:rPr>
                <w:b/>
                <w:color w:val="002060"/>
              </w:rPr>
            </w:pPr>
            <w:r>
              <w:rPr>
                <w:b/>
                <w:color w:val="002060"/>
              </w:rPr>
              <w:t>+7.87%</w:t>
            </w:r>
          </w:p>
        </w:tc>
        <w:tc>
          <w:tcPr>
            <w:tcW w:w="1143" w:type="dxa"/>
            <w:tcBorders>
              <w:top w:val="single" w:sz="4" w:space="0" w:color="000000"/>
              <w:left w:val="single" w:sz="4" w:space="0" w:color="000000"/>
              <w:bottom w:val="single" w:sz="4" w:space="0" w:color="000000"/>
              <w:right w:val="single" w:sz="4" w:space="0" w:color="000000"/>
            </w:tcBorders>
          </w:tcPr>
          <w:p w14:paraId="17871AFD" w14:textId="55C36AFE" w:rsidR="00B90E21" w:rsidRDefault="00B90E21">
            <w:pPr>
              <w:ind w:left="70"/>
              <w:rPr>
                <w:b/>
                <w:color w:val="002060"/>
              </w:rPr>
            </w:pPr>
            <w:r>
              <w:rPr>
                <w:b/>
                <w:color w:val="002060"/>
              </w:rPr>
              <w:t>+126.98%</w:t>
            </w:r>
          </w:p>
        </w:tc>
      </w:tr>
      <w:tr w:rsidR="006F3513" w14:paraId="3165B54B" w14:textId="77777777">
        <w:trPr>
          <w:trHeight w:val="679"/>
        </w:trPr>
        <w:tc>
          <w:tcPr>
            <w:tcW w:w="1229" w:type="dxa"/>
            <w:tcBorders>
              <w:top w:val="single" w:sz="4" w:space="0" w:color="000000"/>
              <w:left w:val="single" w:sz="4" w:space="0" w:color="000000"/>
              <w:bottom w:val="single" w:sz="4" w:space="0" w:color="000000"/>
              <w:right w:val="single" w:sz="4" w:space="0" w:color="000000"/>
            </w:tcBorders>
          </w:tcPr>
          <w:p w14:paraId="56EA53F3" w14:textId="58E40F71" w:rsidR="006F3513" w:rsidRDefault="006F3513">
            <w:pPr>
              <w:rPr>
                <w:b/>
                <w:color w:val="002060"/>
              </w:rPr>
            </w:pPr>
            <w:r>
              <w:rPr>
                <w:b/>
                <w:color w:val="002060"/>
              </w:rPr>
              <w:t>Feb 2019</w:t>
            </w:r>
          </w:p>
        </w:tc>
        <w:tc>
          <w:tcPr>
            <w:tcW w:w="994" w:type="dxa"/>
            <w:tcBorders>
              <w:top w:val="single" w:sz="4" w:space="0" w:color="000000"/>
              <w:left w:val="single" w:sz="4" w:space="0" w:color="000000"/>
              <w:bottom w:val="single" w:sz="4" w:space="0" w:color="000000"/>
              <w:right w:val="single" w:sz="4" w:space="0" w:color="000000"/>
            </w:tcBorders>
          </w:tcPr>
          <w:p w14:paraId="76A38244" w14:textId="73831FEA" w:rsidR="006F3513" w:rsidRDefault="006F3513">
            <w:pPr>
              <w:ind w:left="82"/>
              <w:rPr>
                <w:b/>
                <w:color w:val="002060"/>
              </w:rPr>
            </w:pPr>
            <w:r>
              <w:rPr>
                <w:b/>
                <w:color w:val="002060"/>
              </w:rPr>
              <w:t>+4.82%</w:t>
            </w:r>
          </w:p>
        </w:tc>
        <w:tc>
          <w:tcPr>
            <w:tcW w:w="1469" w:type="dxa"/>
            <w:tcBorders>
              <w:top w:val="single" w:sz="4" w:space="0" w:color="000000"/>
              <w:left w:val="single" w:sz="4" w:space="0" w:color="000000"/>
              <w:bottom w:val="single" w:sz="4" w:space="0" w:color="000000"/>
              <w:right w:val="single" w:sz="4" w:space="0" w:color="000000"/>
            </w:tcBorders>
          </w:tcPr>
          <w:p w14:paraId="79C9679B" w14:textId="016AEFE3" w:rsidR="006F3513" w:rsidRDefault="006F3513">
            <w:pPr>
              <w:ind w:right="66"/>
              <w:jc w:val="center"/>
              <w:rPr>
                <w:b/>
                <w:color w:val="002060"/>
              </w:rPr>
            </w:pPr>
            <w:r>
              <w:rPr>
                <w:b/>
                <w:color w:val="002060"/>
              </w:rPr>
              <w:t>+14.38%</w:t>
            </w:r>
          </w:p>
        </w:tc>
        <w:tc>
          <w:tcPr>
            <w:tcW w:w="1181" w:type="dxa"/>
            <w:tcBorders>
              <w:top w:val="single" w:sz="4" w:space="0" w:color="000000"/>
              <w:left w:val="single" w:sz="4" w:space="0" w:color="000000"/>
              <w:bottom w:val="single" w:sz="4" w:space="0" w:color="000000"/>
              <w:right w:val="single" w:sz="4" w:space="0" w:color="000000"/>
            </w:tcBorders>
          </w:tcPr>
          <w:p w14:paraId="3E989DB8" w14:textId="4D1756B1" w:rsidR="006F3513" w:rsidRDefault="006F3513">
            <w:pPr>
              <w:ind w:left="43"/>
              <w:rPr>
                <w:b/>
                <w:color w:val="002060"/>
              </w:rPr>
            </w:pPr>
            <w:r>
              <w:rPr>
                <w:b/>
                <w:color w:val="002060"/>
              </w:rPr>
              <w:t>+222.15%</w:t>
            </w:r>
          </w:p>
        </w:tc>
        <w:tc>
          <w:tcPr>
            <w:tcW w:w="1047" w:type="dxa"/>
            <w:tcBorders>
              <w:top w:val="single" w:sz="4" w:space="0" w:color="000000"/>
              <w:left w:val="single" w:sz="4" w:space="0" w:color="000000"/>
              <w:bottom w:val="single" w:sz="4" w:space="0" w:color="000000"/>
              <w:right w:val="single" w:sz="4" w:space="0" w:color="000000"/>
            </w:tcBorders>
          </w:tcPr>
          <w:p w14:paraId="7FE771C8" w14:textId="488B460E" w:rsidR="006F3513" w:rsidRDefault="006F3513">
            <w:pPr>
              <w:ind w:left="89"/>
              <w:rPr>
                <w:b/>
                <w:color w:val="002060"/>
              </w:rPr>
            </w:pPr>
            <w:r>
              <w:rPr>
                <w:b/>
                <w:color w:val="002060"/>
              </w:rPr>
              <w:t>+2.97%</w:t>
            </w:r>
          </w:p>
        </w:tc>
        <w:tc>
          <w:tcPr>
            <w:tcW w:w="1466" w:type="dxa"/>
            <w:tcBorders>
              <w:top w:val="single" w:sz="4" w:space="0" w:color="000000"/>
              <w:left w:val="single" w:sz="4" w:space="0" w:color="000000"/>
              <w:bottom w:val="single" w:sz="4" w:space="0" w:color="000000"/>
              <w:right w:val="single" w:sz="4" w:space="0" w:color="000000"/>
            </w:tcBorders>
          </w:tcPr>
          <w:p w14:paraId="6D0512F8" w14:textId="1B85F610" w:rsidR="006F3513" w:rsidRDefault="006F3513">
            <w:pPr>
              <w:ind w:right="69"/>
              <w:jc w:val="center"/>
              <w:rPr>
                <w:b/>
                <w:color w:val="002060"/>
              </w:rPr>
            </w:pPr>
            <w:r>
              <w:rPr>
                <w:b/>
                <w:color w:val="002060"/>
              </w:rPr>
              <w:t>+11.08%</w:t>
            </w:r>
          </w:p>
        </w:tc>
        <w:tc>
          <w:tcPr>
            <w:tcW w:w="1143" w:type="dxa"/>
            <w:tcBorders>
              <w:top w:val="single" w:sz="4" w:space="0" w:color="000000"/>
              <w:left w:val="single" w:sz="4" w:space="0" w:color="000000"/>
              <w:bottom w:val="single" w:sz="4" w:space="0" w:color="000000"/>
              <w:right w:val="single" w:sz="4" w:space="0" w:color="000000"/>
            </w:tcBorders>
          </w:tcPr>
          <w:p w14:paraId="76B5A41C" w14:textId="08B114F9" w:rsidR="006F3513" w:rsidRDefault="006F3513">
            <w:pPr>
              <w:ind w:left="70"/>
              <w:rPr>
                <w:b/>
                <w:color w:val="002060"/>
              </w:rPr>
            </w:pPr>
            <w:r>
              <w:rPr>
                <w:b/>
                <w:color w:val="002060"/>
              </w:rPr>
              <w:t>+133.73%</w:t>
            </w:r>
          </w:p>
        </w:tc>
      </w:tr>
    </w:tbl>
    <w:p w14:paraId="23C66631" w14:textId="7AA5BA73" w:rsidR="008B3CFD" w:rsidRDefault="00532F44">
      <w:pPr>
        <w:spacing w:after="0"/>
        <w:ind w:left="29"/>
      </w:pPr>
      <w:r>
        <w:rPr>
          <w:color w:val="002060"/>
          <w:sz w:val="24"/>
        </w:rPr>
        <w:t xml:space="preserve"> </w:t>
      </w:r>
      <w:r>
        <w:t xml:space="preserve">  </w:t>
      </w:r>
    </w:p>
    <w:p w14:paraId="42EED134" w14:textId="5EDC8271" w:rsidR="00E9291A" w:rsidRDefault="00E9291A">
      <w:pPr>
        <w:spacing w:after="0"/>
        <w:ind w:left="29"/>
      </w:pPr>
    </w:p>
    <w:p w14:paraId="4C851EFD" w14:textId="77777777" w:rsidR="00E9291A" w:rsidRDefault="00E9291A">
      <w:pPr>
        <w:spacing w:after="0"/>
        <w:ind w:left="29"/>
      </w:pPr>
    </w:p>
    <w:p w14:paraId="4A9DF37A" w14:textId="28927167" w:rsidR="00667931" w:rsidRDefault="00667931">
      <w:pPr>
        <w:spacing w:after="0"/>
        <w:ind w:left="29"/>
      </w:pPr>
    </w:p>
    <w:p w14:paraId="15154D58" w14:textId="77777777" w:rsidR="00667931" w:rsidRDefault="00667931">
      <w:pPr>
        <w:spacing w:after="0"/>
        <w:ind w:left="29"/>
      </w:pPr>
    </w:p>
    <w:p w14:paraId="5DA8FBFF" w14:textId="77777777" w:rsidR="00667931" w:rsidRDefault="00667931">
      <w:pPr>
        <w:spacing w:after="0"/>
        <w:ind w:left="29"/>
      </w:pPr>
    </w:p>
    <w:p w14:paraId="467BC685" w14:textId="5A1640B1" w:rsidR="00C90245" w:rsidRDefault="00992272" w:rsidP="006F3513">
      <w:pPr>
        <w:spacing w:after="216"/>
        <w:ind w:left="29"/>
        <w:rPr>
          <w:color w:val="002060"/>
          <w:sz w:val="24"/>
        </w:rPr>
      </w:pPr>
      <w:r>
        <w:rPr>
          <w:color w:val="002060"/>
          <w:sz w:val="24"/>
        </w:rPr>
        <w:t xml:space="preserve">In </w:t>
      </w:r>
      <w:r w:rsidR="006F3513">
        <w:rPr>
          <w:color w:val="002060"/>
          <w:sz w:val="24"/>
        </w:rPr>
        <w:t>Februar</w:t>
      </w:r>
      <w:r w:rsidR="00B90E21">
        <w:rPr>
          <w:color w:val="002060"/>
          <w:sz w:val="24"/>
        </w:rPr>
        <w:t>y</w:t>
      </w:r>
      <w:r w:rsidR="001665CF">
        <w:rPr>
          <w:color w:val="002060"/>
          <w:sz w:val="24"/>
        </w:rPr>
        <w:t xml:space="preserve"> the </w:t>
      </w:r>
      <w:r w:rsidR="006F3513">
        <w:rPr>
          <w:color w:val="002060"/>
          <w:sz w:val="24"/>
        </w:rPr>
        <w:t xml:space="preserve">S&amp;P500 </w:t>
      </w:r>
      <w:r w:rsidR="00B90E21">
        <w:rPr>
          <w:color w:val="002060"/>
          <w:sz w:val="24"/>
        </w:rPr>
        <w:t>rose</w:t>
      </w:r>
      <w:r w:rsidR="008915E3">
        <w:rPr>
          <w:color w:val="002060"/>
          <w:sz w:val="24"/>
        </w:rPr>
        <w:t xml:space="preserve"> by </w:t>
      </w:r>
      <w:r w:rsidR="006F3513">
        <w:rPr>
          <w:color w:val="002060"/>
          <w:sz w:val="24"/>
        </w:rPr>
        <w:t>2</w:t>
      </w:r>
      <w:r w:rsidR="00B90E21">
        <w:rPr>
          <w:color w:val="002060"/>
          <w:sz w:val="24"/>
        </w:rPr>
        <w:t>.</w:t>
      </w:r>
      <w:r w:rsidR="006F3513">
        <w:rPr>
          <w:color w:val="002060"/>
          <w:sz w:val="24"/>
        </w:rPr>
        <w:t>97</w:t>
      </w:r>
      <w:r w:rsidR="00BA4727">
        <w:rPr>
          <w:color w:val="002060"/>
          <w:sz w:val="24"/>
        </w:rPr>
        <w:t>%</w:t>
      </w:r>
      <w:r w:rsidR="008915E3">
        <w:rPr>
          <w:color w:val="002060"/>
          <w:sz w:val="24"/>
        </w:rPr>
        <w:t xml:space="preserve"> </w:t>
      </w:r>
      <w:r w:rsidR="00B90E21">
        <w:rPr>
          <w:color w:val="002060"/>
          <w:sz w:val="24"/>
        </w:rPr>
        <w:t xml:space="preserve">and </w:t>
      </w:r>
      <w:r w:rsidR="006F3513">
        <w:rPr>
          <w:color w:val="002060"/>
          <w:sz w:val="24"/>
        </w:rPr>
        <w:t xml:space="preserve">the Fund </w:t>
      </w:r>
      <w:r w:rsidR="00B90E21">
        <w:rPr>
          <w:color w:val="002060"/>
          <w:sz w:val="24"/>
        </w:rPr>
        <w:t xml:space="preserve">rose by </w:t>
      </w:r>
      <w:r w:rsidR="006F3513">
        <w:rPr>
          <w:color w:val="002060"/>
          <w:sz w:val="24"/>
        </w:rPr>
        <w:t>4.82</w:t>
      </w:r>
      <w:r w:rsidR="00B90E21">
        <w:rPr>
          <w:color w:val="002060"/>
          <w:sz w:val="24"/>
        </w:rPr>
        <w:t xml:space="preserve">% </w:t>
      </w:r>
      <w:r w:rsidR="006F3513">
        <w:rPr>
          <w:color w:val="002060"/>
          <w:sz w:val="24"/>
        </w:rPr>
        <w:t xml:space="preserve">in a move which continued the V-shaped recovery.  Our gain was in line with our type of portfolio, the only mild question being the reluctance of our smaller stocks to participate wholeheartedly in the rebound.  My optimistic assessment is that some are sleeping and will later recover their vigour, just as they were slow to </w:t>
      </w:r>
      <w:proofErr w:type="gramStart"/>
      <w:r w:rsidR="006F3513">
        <w:rPr>
          <w:color w:val="002060"/>
          <w:sz w:val="24"/>
        </w:rPr>
        <w:t>realise</w:t>
      </w:r>
      <w:proofErr w:type="gramEnd"/>
      <w:r w:rsidR="006F3513">
        <w:rPr>
          <w:color w:val="002060"/>
          <w:sz w:val="24"/>
        </w:rPr>
        <w:t xml:space="preserve"> they’d run out of road and fell late off the cliff after others had already fallen.</w:t>
      </w:r>
    </w:p>
    <w:p w14:paraId="3BA2DD0F" w14:textId="720763B6" w:rsidR="006F3513" w:rsidRDefault="006F3513" w:rsidP="006F3513">
      <w:pPr>
        <w:spacing w:after="216"/>
        <w:ind w:left="29"/>
        <w:rPr>
          <w:color w:val="002060"/>
          <w:sz w:val="24"/>
        </w:rPr>
      </w:pPr>
    </w:p>
    <w:p w14:paraId="2089201A" w14:textId="5AA62848" w:rsidR="006F3513" w:rsidRDefault="006F3513" w:rsidP="006F3513">
      <w:pPr>
        <w:spacing w:after="216"/>
        <w:ind w:left="29"/>
        <w:rPr>
          <w:color w:val="002060"/>
          <w:sz w:val="24"/>
        </w:rPr>
      </w:pPr>
      <w:r>
        <w:rPr>
          <w:color w:val="002060"/>
          <w:sz w:val="24"/>
        </w:rPr>
        <w:t xml:space="preserve">It is never quite the same and there are a couple of nuanced differences as we go up the other side. Firstly, there has been the shocking blow-up of Kraft Heinz, now down 65% in two years, which shows the deterioration of brand value and continues to keep us away from consumer non-durables. Secondly, in a V-shaped recovery, we should not expect new highs as it is a rally of the previously fallen.  The whole reversal occurred when the Fed decided to stop wrecking everything and as </w:t>
      </w:r>
      <w:proofErr w:type="gramStart"/>
      <w:r>
        <w:rPr>
          <w:color w:val="002060"/>
          <w:sz w:val="24"/>
        </w:rPr>
        <w:t>such</w:t>
      </w:r>
      <w:proofErr w:type="gramEnd"/>
      <w:r>
        <w:rPr>
          <w:color w:val="002060"/>
          <w:sz w:val="24"/>
        </w:rPr>
        <w:t xml:space="preserve"> we would expect a resumption in big tech, high multiple growth, leadership. However, this group is faltering because of political scrutiny while the few new highs are popping up in other high growth situations such as bio tech after a Roche takeover and fin tech where, remarkably, we are represented with small holdings in </w:t>
      </w:r>
      <w:proofErr w:type="spellStart"/>
      <w:r>
        <w:rPr>
          <w:color w:val="002060"/>
          <w:sz w:val="24"/>
        </w:rPr>
        <w:t>Paypal</w:t>
      </w:r>
      <w:proofErr w:type="spellEnd"/>
      <w:r>
        <w:rPr>
          <w:color w:val="002060"/>
          <w:sz w:val="24"/>
        </w:rPr>
        <w:t>, Visa and World Pay.</w:t>
      </w:r>
    </w:p>
    <w:p w14:paraId="0C2DB764" w14:textId="2A02A601" w:rsidR="006F3513" w:rsidRDefault="006F3513" w:rsidP="006F3513">
      <w:pPr>
        <w:spacing w:after="216"/>
        <w:ind w:left="29"/>
        <w:rPr>
          <w:color w:val="002060"/>
          <w:sz w:val="24"/>
        </w:rPr>
      </w:pPr>
    </w:p>
    <w:p w14:paraId="42A742E3" w14:textId="25BDE618" w:rsidR="00E9291A" w:rsidRDefault="00E9291A" w:rsidP="006F3513">
      <w:pPr>
        <w:spacing w:after="216"/>
        <w:ind w:left="29"/>
        <w:rPr>
          <w:color w:val="002060"/>
          <w:sz w:val="24"/>
        </w:rPr>
      </w:pPr>
    </w:p>
    <w:p w14:paraId="0130E237" w14:textId="4B6313FF" w:rsidR="00E9291A" w:rsidRDefault="00E9291A" w:rsidP="006F3513">
      <w:pPr>
        <w:spacing w:after="216"/>
        <w:ind w:left="29"/>
        <w:rPr>
          <w:color w:val="002060"/>
          <w:sz w:val="24"/>
        </w:rPr>
      </w:pPr>
    </w:p>
    <w:p w14:paraId="33030A6F" w14:textId="77777777" w:rsidR="00E9291A" w:rsidRDefault="00E9291A" w:rsidP="006F3513">
      <w:pPr>
        <w:spacing w:after="216"/>
        <w:ind w:left="29"/>
        <w:rPr>
          <w:color w:val="002060"/>
          <w:sz w:val="24"/>
        </w:rPr>
      </w:pPr>
    </w:p>
    <w:p w14:paraId="25C641E8" w14:textId="76F57FBC" w:rsidR="00045D98" w:rsidRDefault="006F3513" w:rsidP="00045D98">
      <w:pPr>
        <w:spacing w:after="216"/>
        <w:ind w:left="29"/>
        <w:rPr>
          <w:color w:val="002060"/>
          <w:sz w:val="24"/>
        </w:rPr>
      </w:pPr>
      <w:r>
        <w:rPr>
          <w:color w:val="002060"/>
          <w:sz w:val="24"/>
        </w:rPr>
        <w:t xml:space="preserve">Overall, these variations are part of the same problem: growth is </w:t>
      </w:r>
      <w:proofErr w:type="gramStart"/>
      <w:r>
        <w:rPr>
          <w:color w:val="002060"/>
          <w:sz w:val="24"/>
        </w:rPr>
        <w:t>scarce</w:t>
      </w:r>
      <w:proofErr w:type="gramEnd"/>
      <w:r>
        <w:rPr>
          <w:color w:val="002060"/>
          <w:sz w:val="24"/>
        </w:rPr>
        <w:t xml:space="preserve"> and the market will pay up for any secure hope of getting it. However, when high expectations falter, a big price is paid. We will not pay up and so are less inclined to blow up but our less than perfect growth stocks got crushed on recession fears last year and are now recovering their poise in the ongoing low interest, low inflation, low growth environment.</w:t>
      </w:r>
    </w:p>
    <w:p w14:paraId="43324DED" w14:textId="7BE45609" w:rsidR="00E9291A" w:rsidRDefault="00E9291A" w:rsidP="00045D98">
      <w:pPr>
        <w:spacing w:after="216"/>
        <w:ind w:left="29"/>
        <w:rPr>
          <w:color w:val="002060"/>
          <w:sz w:val="24"/>
        </w:rPr>
      </w:pPr>
    </w:p>
    <w:p w14:paraId="01C5886A" w14:textId="120F08C7" w:rsidR="00E9291A" w:rsidRDefault="00E9291A" w:rsidP="00045D98">
      <w:pPr>
        <w:spacing w:after="216"/>
        <w:ind w:left="29"/>
        <w:rPr>
          <w:color w:val="002060"/>
          <w:sz w:val="24"/>
        </w:rPr>
      </w:pPr>
    </w:p>
    <w:p w14:paraId="65D06B99" w14:textId="07BCAAFF" w:rsidR="00E9291A" w:rsidRDefault="00E9291A" w:rsidP="00045D98">
      <w:pPr>
        <w:spacing w:after="216"/>
        <w:ind w:left="29"/>
        <w:rPr>
          <w:color w:val="002060"/>
          <w:sz w:val="24"/>
        </w:rPr>
      </w:pPr>
    </w:p>
    <w:p w14:paraId="6BF8A704" w14:textId="3D2C2F00" w:rsidR="00E9291A" w:rsidRDefault="00E9291A" w:rsidP="00045D98">
      <w:pPr>
        <w:spacing w:after="216"/>
        <w:ind w:left="29"/>
        <w:rPr>
          <w:color w:val="002060"/>
          <w:sz w:val="24"/>
        </w:rPr>
      </w:pPr>
    </w:p>
    <w:p w14:paraId="6313F83A" w14:textId="77777777" w:rsidR="00E9291A" w:rsidRDefault="00E9291A" w:rsidP="00045D98">
      <w:pPr>
        <w:spacing w:after="216"/>
        <w:ind w:left="29"/>
        <w:rPr>
          <w:color w:val="002060"/>
          <w:sz w:val="24"/>
        </w:rPr>
      </w:pPr>
      <w:bookmarkStart w:id="0" w:name="_GoBack"/>
      <w:bookmarkEnd w:id="0"/>
    </w:p>
    <w:p w14:paraId="12E832EA" w14:textId="77777777" w:rsidR="00667931" w:rsidRDefault="00667931" w:rsidP="00667931">
      <w:pPr>
        <w:spacing w:after="216"/>
        <w:ind w:left="29"/>
        <w:rPr>
          <w:color w:val="002060"/>
          <w:sz w:val="24"/>
        </w:rPr>
      </w:pPr>
    </w:p>
    <w:p w14:paraId="257861D0" w14:textId="33DE0A7E" w:rsidR="008B3CFD" w:rsidRDefault="00532F44" w:rsidP="00667931">
      <w:pPr>
        <w:spacing w:after="216"/>
        <w:ind w:left="29"/>
      </w:pPr>
      <w:r>
        <w:rPr>
          <w:rFonts w:ascii="Arial" w:eastAsia="Arial" w:hAnsi="Arial" w:cs="Arial"/>
          <w:b/>
          <w:sz w:val="16"/>
        </w:rPr>
        <w:t>Risk Warnings and Other Important Information</w:t>
      </w:r>
      <w:r>
        <w:rPr>
          <w:rFonts w:ascii="Times New Roman" w:eastAsia="Times New Roman" w:hAnsi="Times New Roman" w:cs="Times New Roman"/>
          <w:sz w:val="16"/>
        </w:rPr>
        <w:t xml:space="preserve"> </w:t>
      </w:r>
      <w:r>
        <w:t xml:space="preserve">  </w:t>
      </w:r>
    </w:p>
    <w:p w14:paraId="164D36B7" w14:textId="77777777" w:rsidR="008B3CFD" w:rsidRDefault="00532F44">
      <w:pPr>
        <w:spacing w:after="23" w:line="225" w:lineRule="auto"/>
        <w:ind w:left="5" w:hanging="10"/>
      </w:pPr>
      <w:r>
        <w:rPr>
          <w:rFonts w:ascii="Arial" w:eastAsia="Arial" w:hAnsi="Arial" w:cs="Arial"/>
          <w:sz w:val="16"/>
        </w:rPr>
        <w:t xml:space="preserve">This document is issued by De Lisle Partners LLP, registered in England No.OC310994, authorized and regulated by the </w:t>
      </w:r>
      <w:r>
        <w:t xml:space="preserve"> </w:t>
      </w:r>
    </w:p>
    <w:p w14:paraId="2B38CF44" w14:textId="6F73D19B" w:rsidR="008B3CFD" w:rsidRDefault="00532F44">
      <w:pPr>
        <w:spacing w:after="217" w:line="225" w:lineRule="auto"/>
        <w:ind w:left="5" w:hanging="10"/>
      </w:pPr>
      <w:r>
        <w:rPr>
          <w:rFonts w:ascii="Arial" w:eastAsia="Arial" w:hAnsi="Arial" w:cs="Arial"/>
          <w:sz w:val="16"/>
        </w:rPr>
        <w:t xml:space="preserve">Financial Conduct Authority. The registered office of Valu-Trac Investment Management Ltd is Suite 150-153, 2nd Floor Temple Chambers, Temple Avenue, London, EC4Y 0DA, Head Office at Mains of Orton, Orton, Fochabers, Moray, Scotland IV32 7QE. </w:t>
      </w:r>
      <w:r>
        <w:t xml:space="preserve">  </w:t>
      </w:r>
    </w:p>
    <w:p w14:paraId="493D1501" w14:textId="77777777" w:rsidR="005B07AC" w:rsidRDefault="005B07AC">
      <w:pPr>
        <w:spacing w:after="217" w:line="225" w:lineRule="auto"/>
        <w:ind w:left="5" w:hanging="10"/>
      </w:pPr>
    </w:p>
    <w:p w14:paraId="3D7433CD" w14:textId="77777777" w:rsidR="008B3CFD" w:rsidRDefault="00532F44">
      <w:pPr>
        <w:spacing w:after="152" w:line="225" w:lineRule="auto"/>
        <w:ind w:left="5" w:hanging="10"/>
      </w:pPr>
      <w:r>
        <w:rPr>
          <w:rFonts w:ascii="Arial" w:eastAsia="Arial" w:hAnsi="Arial" w:cs="Arial"/>
          <w:sz w:val="16"/>
        </w:rPr>
        <w:t xml:space="preserve">The Fund qualifies as an Undertaking for Collective Investment in Transferable Securities (UCITSIII).  </w:t>
      </w:r>
      <w:r>
        <w:t xml:space="preserve">  </w:t>
      </w:r>
    </w:p>
    <w:p w14:paraId="2DF41FFB" w14:textId="77777777" w:rsidR="008B3CFD" w:rsidRDefault="00532F44">
      <w:pPr>
        <w:spacing w:after="152" w:line="225" w:lineRule="auto"/>
        <w:ind w:left="5" w:hanging="10"/>
      </w:pPr>
      <w:r>
        <w:rPr>
          <w:rFonts w:ascii="Arial" w:eastAsia="Arial" w:hAnsi="Arial" w:cs="Arial"/>
          <w:sz w:val="16"/>
        </w:rPr>
        <w:t xml:space="preserve">This document should not be construed as investment advice or an offer to invest in the Fund. Nor should its content be interpreted as investment or tax advice for which you should consult your independent financial adviser and/or accountant. The information and opinion it contains have been compiled or arrived at from sources believed to be reliable at the time and are given in good faith, but no representation is made as to their accuracy, completeness or correctness. Any opinion expressed in this document represents the views of De Lisle Partners at the time of </w:t>
      </w:r>
      <w:proofErr w:type="gramStart"/>
      <w:r w:rsidRPr="00C90245">
        <w:rPr>
          <w:rFonts w:ascii="Arial" w:eastAsia="Arial" w:hAnsi="Arial" w:cs="Arial"/>
          <w:noProof/>
          <w:sz w:val="16"/>
        </w:rPr>
        <w:t>preparation,</w:t>
      </w:r>
      <w:r>
        <w:rPr>
          <w:rFonts w:ascii="Arial" w:eastAsia="Arial" w:hAnsi="Arial" w:cs="Arial"/>
          <w:sz w:val="16"/>
        </w:rPr>
        <w:t xml:space="preserve"> but</w:t>
      </w:r>
      <w:proofErr w:type="gramEnd"/>
      <w:r>
        <w:rPr>
          <w:rFonts w:ascii="Arial" w:eastAsia="Arial" w:hAnsi="Arial" w:cs="Arial"/>
          <w:sz w:val="16"/>
        </w:rPr>
        <w:t xml:space="preserve"> is subject to change. For professional use only.  </w:t>
      </w:r>
      <w:r>
        <w:t xml:space="preserve">  </w:t>
      </w:r>
    </w:p>
    <w:p w14:paraId="097BB83A" w14:textId="77777777" w:rsidR="008B3CFD" w:rsidRDefault="00532F44">
      <w:pPr>
        <w:spacing w:after="85" w:line="216" w:lineRule="auto"/>
        <w:ind w:left="-5" w:hanging="10"/>
      </w:pPr>
      <w:r>
        <w:rPr>
          <w:rFonts w:ascii="Arial" w:eastAsia="Arial" w:hAnsi="Arial" w:cs="Arial"/>
          <w:b/>
          <w:sz w:val="16"/>
        </w:rPr>
        <w:t>The value of an investment and the income from it can fall as well as rise as a result of market and currency fluctuations and you may not get back the amount originally invested. Past performance should not be viewed as a guide to future performance. Please read the Prospectus before making an investment.</w:t>
      </w:r>
      <w:r>
        <w:rPr>
          <w:rFonts w:ascii="Arial" w:eastAsia="Arial" w:hAnsi="Arial" w:cs="Arial"/>
          <w:sz w:val="16"/>
        </w:rPr>
        <w:t xml:space="preserve"> </w:t>
      </w:r>
      <w:r>
        <w:t xml:space="preserve">  </w:t>
      </w:r>
    </w:p>
    <w:sectPr w:rsidR="008B3CFD">
      <w:pgSz w:w="11906" w:h="16838"/>
      <w:pgMar w:top="1538" w:right="1501" w:bottom="1901" w:left="14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0M7YwNzAwN7EwMTFV0lEKTi0uzszPAykwrwUA4SLnRywAAAA="/>
  </w:docVars>
  <w:rsids>
    <w:rsidRoot w:val="008B3CFD"/>
    <w:rsid w:val="00045D98"/>
    <w:rsid w:val="00062D80"/>
    <w:rsid w:val="000D1053"/>
    <w:rsid w:val="000D3EE3"/>
    <w:rsid w:val="000D7DB7"/>
    <w:rsid w:val="00152810"/>
    <w:rsid w:val="00154417"/>
    <w:rsid w:val="00157864"/>
    <w:rsid w:val="001665CF"/>
    <w:rsid w:val="00182631"/>
    <w:rsid w:val="001C193D"/>
    <w:rsid w:val="001C1C19"/>
    <w:rsid w:val="001D25C2"/>
    <w:rsid w:val="001E2DDA"/>
    <w:rsid w:val="00225F14"/>
    <w:rsid w:val="00235842"/>
    <w:rsid w:val="00315707"/>
    <w:rsid w:val="00356E36"/>
    <w:rsid w:val="004966B9"/>
    <w:rsid w:val="004A587E"/>
    <w:rsid w:val="004C6A7B"/>
    <w:rsid w:val="004E5A8E"/>
    <w:rsid w:val="00517F96"/>
    <w:rsid w:val="00532F44"/>
    <w:rsid w:val="00571937"/>
    <w:rsid w:val="005734D7"/>
    <w:rsid w:val="005B07AC"/>
    <w:rsid w:val="00651913"/>
    <w:rsid w:val="00667931"/>
    <w:rsid w:val="006804D4"/>
    <w:rsid w:val="00681494"/>
    <w:rsid w:val="006C3B6A"/>
    <w:rsid w:val="006F3513"/>
    <w:rsid w:val="00736CD0"/>
    <w:rsid w:val="00756CE8"/>
    <w:rsid w:val="00785710"/>
    <w:rsid w:val="007A7BA0"/>
    <w:rsid w:val="008039B2"/>
    <w:rsid w:val="008378E8"/>
    <w:rsid w:val="00842C67"/>
    <w:rsid w:val="008915E3"/>
    <w:rsid w:val="008B3CFD"/>
    <w:rsid w:val="00926F63"/>
    <w:rsid w:val="009840F4"/>
    <w:rsid w:val="00992272"/>
    <w:rsid w:val="00995F81"/>
    <w:rsid w:val="00A5336E"/>
    <w:rsid w:val="00A711B3"/>
    <w:rsid w:val="00AA17B9"/>
    <w:rsid w:val="00B90E21"/>
    <w:rsid w:val="00B972AF"/>
    <w:rsid w:val="00BA3727"/>
    <w:rsid w:val="00BA4727"/>
    <w:rsid w:val="00BE5477"/>
    <w:rsid w:val="00C10A8D"/>
    <w:rsid w:val="00C43329"/>
    <w:rsid w:val="00C56FF0"/>
    <w:rsid w:val="00C74A9D"/>
    <w:rsid w:val="00C90245"/>
    <w:rsid w:val="00C9272F"/>
    <w:rsid w:val="00CE6DAD"/>
    <w:rsid w:val="00CF3760"/>
    <w:rsid w:val="00D47DD1"/>
    <w:rsid w:val="00DB37F4"/>
    <w:rsid w:val="00DC1E3C"/>
    <w:rsid w:val="00DE6764"/>
    <w:rsid w:val="00E10922"/>
    <w:rsid w:val="00E9291A"/>
    <w:rsid w:val="00F40492"/>
    <w:rsid w:val="00F75FA6"/>
    <w:rsid w:val="00FD7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01C36"/>
  <w15:docId w15:val="{2E8D474B-41EF-40BA-BBF0-5458DBB7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57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86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delisle</dc:creator>
  <cp:keywords/>
  <cp:lastModifiedBy>sarah delisle</cp:lastModifiedBy>
  <cp:revision>2</cp:revision>
  <cp:lastPrinted>2019-03-03T20:21:00Z</cp:lastPrinted>
  <dcterms:created xsi:type="dcterms:W3CDTF">2019-03-03T20:23:00Z</dcterms:created>
  <dcterms:modified xsi:type="dcterms:W3CDTF">2019-03-03T20:23:00Z</dcterms:modified>
</cp:coreProperties>
</file>